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16827" w:lineRule="exact"/>
        <w:rPr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headerReference w:type="default" r:id="rId1"/>
          <w:footerReference w:type="default" r:id="rId2"/>
          <w:pgSz w:w="11900" w:h="16840"/>
          <w:pgMar w:top="1" w:right="0" w:bottom="1" w:left="0" w:header="0" w:footer="0" w:gutter="0"/>
        </w:sectPr>
        <w:rPr/>
      </w:pPr>
    </w:p>
    <w:p>
      <w:pPr>
        <w:spacing w:line="16827" w:lineRule="exact"/>
        <w:rPr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pgSz w:w="11900" w:h="16840"/>
          <w:pgMar w:top="1" w:right="0" w:bottom="1" w:left="0" w:header="0" w:footer="0" w:gutter="0"/>
        </w:sectPr>
        <w:rPr/>
      </w:pP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3778"/>
        <w:spacing w:before="101" w:line="228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2"/>
        </w:rPr>
        <w:t>摘</w:t>
      </w:r>
      <w:r>
        <w:rPr>
          <w:rFonts w:ascii="SimHei" w:hAnsi="SimHei" w:eastAsia="SimHei" w:cs="SimHei"/>
          <w:sz w:val="31"/>
          <w:szCs w:val="31"/>
          <w:spacing w:val="16"/>
        </w:rPr>
        <w:t xml:space="preserve"> </w:t>
      </w:r>
      <w:r>
        <w:rPr>
          <w:rFonts w:ascii="SimHei" w:hAnsi="SimHei" w:eastAsia="SimHei" w:cs="SimHei"/>
          <w:sz w:val="31"/>
          <w:szCs w:val="31"/>
          <w:spacing w:val="-2"/>
        </w:rPr>
        <w:t>要</w:t>
      </w:r>
    </w:p>
    <w:p>
      <w:pPr>
        <w:pStyle w:val="BodyText"/>
        <w:ind w:left="25" w:right="97" w:firstLine="560"/>
        <w:spacing w:before="236" w:line="354" w:lineRule="auto"/>
        <w:jc w:val="both"/>
        <w:rPr/>
      </w:pPr>
      <w:r>
        <w:rPr>
          <w:spacing w:val="-1"/>
        </w:rPr>
        <w:t>本报告以生命周期评价方法为基础，采用采用</w:t>
      </w:r>
      <w:r>
        <w:rPr>
          <w:spacing w:val="-64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ISO</w:t>
      </w:r>
      <w:r>
        <w:rPr>
          <w:rFonts w:ascii="Times New Roman" w:hAnsi="Times New Roman" w:eastAsia="Times New Roman" w:cs="Times New Roman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14067</w:t>
      </w:r>
      <w:r>
        <w:rPr>
          <w:spacing w:val="-1"/>
        </w:rPr>
        <w:t>：</w:t>
      </w:r>
      <w:r>
        <w:rPr>
          <w:rFonts w:ascii="Times New Roman" w:hAnsi="Times New Roman" w:eastAsia="Times New Roman" w:cs="Times New Roman"/>
          <w:spacing w:val="-1"/>
        </w:rPr>
        <w:t>2</w:t>
      </w:r>
      <w:r>
        <w:rPr>
          <w:rFonts w:ascii="Times New Roman" w:hAnsi="Times New Roman" w:eastAsia="Times New Roman" w:cs="Times New Roman"/>
          <w:spacing w:val="-2"/>
        </w:rPr>
        <w:t>018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4"/>
        </w:rPr>
        <w:t>《温室气体产品碳足迹量化的要求和指南》、</w:t>
      </w:r>
      <w:r>
        <w:rPr>
          <w:rFonts w:ascii="Times New Roman" w:hAnsi="Times New Roman" w:eastAsia="Times New Roman" w:cs="Times New Roman"/>
          <w:spacing w:val="-4"/>
        </w:rPr>
        <w:t>PAS2050:2011</w:t>
      </w:r>
      <w:r>
        <w:rPr>
          <w:spacing w:val="-4"/>
        </w:rPr>
        <w:t>《商品和</w:t>
      </w:r>
      <w:r>
        <w:rPr>
          <w:spacing w:val="4"/>
        </w:rPr>
        <w:t xml:space="preserve"> </w:t>
      </w:r>
      <w:r>
        <w:rPr>
          <w:spacing w:val="-4"/>
        </w:rPr>
        <w:t>服务在生命周期内的温室气体排放评价规范》的要求中规定的碳足迹</w:t>
      </w:r>
      <w:r>
        <w:rPr>
          <w:spacing w:val="14"/>
        </w:rPr>
        <w:t xml:space="preserve"> </w:t>
      </w:r>
      <w:r>
        <w:rPr>
          <w:spacing w:val="-4"/>
        </w:rPr>
        <w:t>核算方法，计算得到哈尔滨群勤环保科技有限公司塑料类回收物的碳</w:t>
      </w:r>
      <w:r>
        <w:rPr>
          <w:spacing w:val="14"/>
        </w:rPr>
        <w:t xml:space="preserve"> </w:t>
      </w:r>
      <w:r>
        <w:rPr>
          <w:spacing w:val="-4"/>
        </w:rPr>
        <w:t>足迹。</w:t>
      </w:r>
    </w:p>
    <w:p>
      <w:pPr>
        <w:pStyle w:val="BodyText"/>
        <w:ind w:left="25" w:firstLine="562"/>
        <w:spacing w:before="33" w:line="346" w:lineRule="auto"/>
        <w:jc w:val="both"/>
        <w:rPr/>
      </w:pPr>
      <w:r>
        <w:rPr>
          <w:spacing w:val="-4"/>
        </w:rPr>
        <w:t>为了满足碳足迹需要，本报告的功能单位定义为哈尔滨群勤环保</w:t>
      </w:r>
      <w:r>
        <w:rPr>
          <w:spacing w:val="4"/>
        </w:rPr>
        <w:t xml:space="preserve"> </w:t>
      </w:r>
      <w:r>
        <w:rPr>
          <w:spacing w:val="-1"/>
        </w:rPr>
        <w:t>科技有限公司生产的</w:t>
      </w:r>
      <w:r>
        <w:rPr>
          <w:spacing w:val="-38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1kg </w:t>
      </w:r>
      <w:r>
        <w:rPr>
          <w:spacing w:val="-1"/>
        </w:rPr>
        <w:t>塑料类回收物。系</w:t>
      </w:r>
      <w:r>
        <w:rPr>
          <w:spacing w:val="-2"/>
        </w:rPr>
        <w:t>统边界为</w:t>
      </w:r>
      <w:r>
        <w:rPr>
          <w:rFonts w:ascii="Times New Roman" w:hAnsi="Times New Roman" w:eastAsia="Times New Roman" w:cs="Times New Roman"/>
          <w:spacing w:val="-2"/>
        </w:rPr>
        <w:t>“</w:t>
      </w:r>
      <w:r>
        <w:rPr>
          <w:spacing w:val="-2"/>
        </w:rPr>
        <w:t>从摇篮到大门</w:t>
      </w:r>
      <w:r>
        <w:rPr>
          <w:rFonts w:ascii="Times New Roman" w:hAnsi="Times New Roman" w:eastAsia="Times New Roman" w:cs="Times New Roman"/>
          <w:spacing w:val="-2"/>
        </w:rPr>
        <w:t>”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9"/>
        </w:rPr>
        <w:t>类型，现场调研了从原材料获取、原材料运输、产</w:t>
      </w:r>
      <w:r>
        <w:rPr>
          <w:spacing w:val="-10"/>
        </w:rPr>
        <w:t>品生产的生命过程。</w:t>
      </w:r>
    </w:p>
    <w:p>
      <w:pPr>
        <w:pStyle w:val="BodyText"/>
        <w:ind w:left="23" w:right="97" w:firstLine="559"/>
        <w:spacing w:before="64" w:line="356" w:lineRule="auto"/>
        <w:jc w:val="both"/>
        <w:rPr/>
      </w:pPr>
      <w:r>
        <w:rPr>
          <w:spacing w:val="-4"/>
        </w:rPr>
        <w:t>评价过程中，数据质量被认为是最重要的考虑因素之一。本次数</w:t>
      </w:r>
      <w:r>
        <w:rPr>
          <w:spacing w:val="8"/>
        </w:rPr>
        <w:t xml:space="preserve"> </w:t>
      </w:r>
      <w:r>
        <w:rPr>
          <w:spacing w:val="-4"/>
        </w:rPr>
        <w:t>据收集和选择的指导原则是抓大放小，数据尽可能具有代表性，主要</w:t>
      </w:r>
      <w:r>
        <w:rPr>
          <w:spacing w:val="15"/>
        </w:rPr>
        <w:t xml:space="preserve"> </w:t>
      </w:r>
      <w:r>
        <w:rPr>
          <w:spacing w:val="-4"/>
        </w:rPr>
        <w:t>体现在生产商、技术、地域、时间等方面。生命周期主要活动数据来</w:t>
      </w:r>
      <w:r>
        <w:rPr>
          <w:spacing w:val="15"/>
        </w:rPr>
        <w:t xml:space="preserve"> </w:t>
      </w:r>
      <w:r>
        <w:rPr>
          <w:spacing w:val="-4"/>
        </w:rPr>
        <w:t>源于企业现场调研的初级数据，大部分国内生产的原材料的排放因子</w:t>
      </w:r>
      <w:r>
        <w:rPr>
          <w:spacing w:val="15"/>
        </w:rPr>
        <w:t xml:space="preserve"> </w:t>
      </w:r>
      <w:r>
        <w:rPr>
          <w:spacing w:val="4"/>
        </w:rPr>
        <w:t>数据来源于 </w:t>
      </w:r>
      <w:r>
        <w:rPr>
          <w:rFonts w:ascii="Times New Roman" w:hAnsi="Times New Roman" w:eastAsia="Times New Roman" w:cs="Times New Roman"/>
        </w:rPr>
        <w:t>IPCC</w:t>
      </w:r>
      <w:r>
        <w:rPr>
          <w:rFonts w:ascii="Times New Roman" w:hAnsi="Times New Roman" w:eastAsia="Times New Roman" w:cs="Times New Roman"/>
          <w:spacing w:val="4"/>
        </w:rPr>
        <w:t xml:space="preserve">  </w:t>
      </w:r>
      <w:r>
        <w:rPr>
          <w:spacing w:val="4"/>
        </w:rPr>
        <w:t>数据库、中国产品全生命周期温室气体排</w:t>
      </w:r>
      <w:r>
        <w:rPr>
          <w:spacing w:val="3"/>
        </w:rPr>
        <w:t>放系数</w:t>
      </w:r>
      <w:r>
        <w:rPr/>
        <w:t xml:space="preserve"> </w:t>
      </w:r>
      <w:r>
        <w:rPr>
          <w:spacing w:val="1"/>
        </w:rPr>
        <w:t>集（</w:t>
      </w:r>
      <w:r>
        <w:rPr>
          <w:rFonts w:ascii="Times New Roman" w:hAnsi="Times New Roman" w:eastAsia="Times New Roman" w:cs="Times New Roman"/>
          <w:spacing w:val="1"/>
        </w:rPr>
        <w:t>2022</w:t>
      </w:r>
      <w:r>
        <w:rPr>
          <w:spacing w:val="1"/>
        </w:rPr>
        <w:t>）、中国生命基础数据库（</w:t>
      </w:r>
      <w:r>
        <w:rPr>
          <w:rFonts w:ascii="Times New Roman" w:hAnsi="Times New Roman" w:eastAsia="Times New Roman" w:cs="Times New Roman"/>
        </w:rPr>
        <w:t>CLCD</w:t>
      </w:r>
      <w:r>
        <w:rPr>
          <w:spacing w:val="1"/>
        </w:rPr>
        <w:t>）和瑞士的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 w:cs="Times New Roman"/>
        </w:rPr>
        <w:t>Ecoinvent</w:t>
      </w:r>
      <w:r>
        <w:rPr>
          <w:rFonts w:ascii="Times New Roman" w:hAnsi="Times New Roman" w:eastAsia="Times New Roman" w:cs="Times New Roman"/>
          <w:spacing w:val="1"/>
        </w:rPr>
        <w:t xml:space="preserve">  </w:t>
      </w:r>
      <w:r>
        <w:rPr>
          <w:spacing w:val="1"/>
        </w:rPr>
        <w:t>数</w:t>
      </w:r>
      <w:r>
        <w:rPr/>
        <w:t xml:space="preserve"> </w:t>
      </w:r>
      <w:r>
        <w:rPr>
          <w:spacing w:val="1"/>
        </w:rPr>
        <w:t>据库等，本次评价选用的数据在国内外</w:t>
      </w:r>
      <w:r>
        <w:rPr>
          <w:spacing w:val="-65"/>
        </w:rPr>
        <w:t xml:space="preserve"> </w:t>
      </w:r>
      <w:r>
        <w:rPr>
          <w:rFonts w:ascii="Times New Roman" w:hAnsi="Times New Roman" w:eastAsia="Times New Roman" w:cs="Times New Roman"/>
        </w:rPr>
        <w:t>LCA</w:t>
      </w:r>
      <w:r>
        <w:rPr>
          <w:rFonts w:ascii="Times New Roman" w:hAnsi="Times New Roman" w:eastAsia="Times New Roman" w:cs="Times New Roman"/>
          <w:spacing w:val="1"/>
        </w:rPr>
        <w:t xml:space="preserve"> </w:t>
      </w:r>
      <w:r>
        <w:rPr>
          <w:spacing w:val="1"/>
        </w:rPr>
        <w:t>研究中被高度认可和广</w:t>
      </w:r>
      <w:r>
        <w:rPr/>
        <w:t xml:space="preserve"> </w:t>
      </w:r>
      <w:r>
        <w:rPr>
          <w:spacing w:val="-4"/>
        </w:rPr>
        <w:t>泛应用。此外，通过绘制产品过程图实现了产品的生命周期建模、计</w:t>
      </w:r>
      <w:r>
        <w:rPr>
          <w:spacing w:val="15"/>
        </w:rPr>
        <w:t xml:space="preserve"> </w:t>
      </w:r>
      <w:r>
        <w:rPr>
          <w:spacing w:val="-1"/>
        </w:rPr>
        <w:t>算和结果分析，以保证数据和计算结果的可溯性和可再现性。</w:t>
      </w:r>
    </w:p>
    <w:p>
      <w:pPr>
        <w:spacing w:line="356" w:lineRule="auto"/>
        <w:sectPr>
          <w:footerReference w:type="default" r:id="rId5"/>
          <w:pgSz w:w="11906" w:h="16839"/>
          <w:pgMar w:top="400" w:right="1701" w:bottom="1156" w:left="1785" w:header="0" w:footer="991" w:gutter="0"/>
        </w:sectPr>
        <w:rPr/>
      </w:pP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31"/>
        <w:spacing w:before="101" w:line="226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</w:rPr>
        <w:t>一、产品碳足迹介绍</w:t>
      </w:r>
    </w:p>
    <w:p>
      <w:pPr>
        <w:pStyle w:val="BodyText"/>
        <w:ind w:left="18" w:firstLine="564"/>
        <w:spacing w:before="245" w:line="356" w:lineRule="auto"/>
        <w:rPr/>
      </w:pPr>
      <w:r>
        <w:rPr>
          <w:spacing w:val="-1"/>
        </w:rPr>
        <w:t>近年来，温室效应、气候变化已成为全球关注的焦点，</w:t>
      </w:r>
      <w:r>
        <w:rPr>
          <w:rFonts w:ascii="Times New Roman" w:hAnsi="Times New Roman" w:eastAsia="Times New Roman" w:cs="Times New Roman"/>
          <w:spacing w:val="-1"/>
        </w:rPr>
        <w:t>“</w:t>
      </w:r>
      <w:r>
        <w:rPr>
          <w:spacing w:val="-1"/>
        </w:rPr>
        <w:t>碳足迹</w:t>
      </w:r>
      <w:r>
        <w:rPr>
          <w:rFonts w:ascii="Times New Roman" w:hAnsi="Times New Roman" w:eastAsia="Times New Roman" w:cs="Times New Roman"/>
          <w:spacing w:val="-1"/>
        </w:rPr>
        <w:t>”</w:t>
      </w:r>
      <w:r>
        <w:rPr>
          <w:rFonts w:ascii="Times New Roman" w:hAnsi="Times New Roman" w:eastAsia="Times New Roman" w:cs="Times New Roman"/>
          <w:spacing w:val="18"/>
        </w:rPr>
        <w:t xml:space="preserve"> </w:t>
      </w:r>
      <w:r>
        <w:rPr>
          <w:spacing w:val="-3"/>
        </w:rPr>
        <w:t>这个新的术语越来越广泛地为全世界所使用。碳</w:t>
      </w:r>
      <w:r>
        <w:rPr>
          <w:spacing w:val="-4"/>
        </w:rPr>
        <w:t>足迹通常分为项目层</w:t>
      </w:r>
      <w:r>
        <w:rPr/>
        <w:t xml:space="preserve"> </w:t>
      </w:r>
      <w:r>
        <w:rPr/>
        <w:t>面、组织层面、产品层面这三个层面。产品碳足迹（</w:t>
      </w:r>
      <w:r>
        <w:rPr>
          <w:rFonts w:ascii="Times New Roman" w:hAnsi="Times New Roman" w:eastAsia="Times New Roman" w:cs="Times New Roman"/>
        </w:rPr>
        <w:t>Product Ca</w:t>
      </w:r>
      <w:r>
        <w:rPr>
          <w:rFonts w:ascii="Times New Roman" w:hAnsi="Times New Roman" w:eastAsia="Times New Roman" w:cs="Times New Roman"/>
          <w:spacing w:val="-1"/>
        </w:rPr>
        <w:t>rbon</w:t>
      </w:r>
      <w:r>
        <w:rPr>
          <w:rFonts w:ascii="Times New Roman" w:hAnsi="Times New Roman" w:eastAsia="Times New Roman" w:cs="Times New Roman"/>
        </w:rPr>
        <w:t xml:space="preserve">    </w:t>
      </w:r>
      <w:r>
        <w:rPr>
          <w:rFonts w:ascii="Times New Roman" w:hAnsi="Times New Roman" w:eastAsia="Times New Roman" w:cs="Times New Roman"/>
          <w:spacing w:val="-1"/>
        </w:rPr>
        <w:t>Footprint</w:t>
      </w:r>
      <w:r>
        <w:rPr>
          <w:rFonts w:ascii="Times New Roman" w:hAnsi="Times New Roman" w:eastAsia="Times New Roman" w:cs="Times New Roman"/>
          <w:spacing w:val="-38"/>
        </w:rPr>
        <w:t xml:space="preserve"> </w:t>
      </w:r>
      <w:r>
        <w:rPr>
          <w:spacing w:val="-1"/>
        </w:rPr>
        <w:t>，</w:t>
      </w:r>
      <w:r>
        <w:rPr>
          <w:rFonts w:ascii="Times New Roman" w:hAnsi="Times New Roman" w:eastAsia="Times New Roman" w:cs="Times New Roman"/>
          <w:spacing w:val="-1"/>
        </w:rPr>
        <w:t>PCF</w:t>
      </w:r>
      <w:r>
        <w:rPr>
          <w:spacing w:val="-1"/>
        </w:rPr>
        <w:t>）是指衡量某个产品在其生命周期各阶段的温室</w:t>
      </w:r>
      <w:r>
        <w:rPr>
          <w:spacing w:val="-2"/>
        </w:rPr>
        <w:t>气体</w:t>
      </w:r>
      <w:r>
        <w:rPr/>
        <w:t xml:space="preserve">  </w:t>
      </w:r>
      <w:r>
        <w:rPr>
          <w:spacing w:val="-3"/>
        </w:rPr>
        <w:t>排放量总和，即从原材料开采、产品生产（或服</w:t>
      </w:r>
      <w:r>
        <w:rPr>
          <w:spacing w:val="-4"/>
        </w:rPr>
        <w:t>务提供）、分销、使</w:t>
      </w:r>
      <w:r>
        <w:rPr/>
        <w:t xml:space="preserve"> </w:t>
      </w:r>
      <w:r>
        <w:rPr/>
        <w:t>用到最终处置</w:t>
      </w:r>
      <w:r>
        <w:rPr>
          <w:rFonts w:ascii="Times New Roman" w:hAnsi="Times New Roman" w:eastAsia="Times New Roman" w:cs="Times New Roman"/>
        </w:rPr>
        <w:t>/</w:t>
      </w:r>
      <w:r>
        <w:rPr/>
        <w:t>再生利用等多个阶段的各种温室气体排放</w:t>
      </w:r>
      <w:r>
        <w:rPr>
          <w:spacing w:val="-1"/>
        </w:rPr>
        <w:t>的累加。温</w:t>
      </w:r>
      <w:r>
        <w:rPr/>
        <w:t xml:space="preserve">  </w:t>
      </w:r>
      <w:r>
        <w:rPr>
          <w:spacing w:val="2"/>
        </w:rPr>
        <w:t>室气体包括二氧化碳（</w:t>
      </w:r>
      <w:r>
        <w:rPr>
          <w:rFonts w:ascii="Times New Roman" w:hAnsi="Times New Roman" w:eastAsia="Times New Roman" w:cs="Times New Roman"/>
        </w:rPr>
        <w:t>CO</w:t>
      </w:r>
      <w:r>
        <w:rPr>
          <w:rFonts w:ascii="Times New Roman" w:hAnsi="Times New Roman" w:eastAsia="Times New Roman" w:cs="Times New Roman"/>
          <w:sz w:val="18"/>
          <w:szCs w:val="18"/>
          <w:spacing w:val="2"/>
          <w:position w:val="-2"/>
        </w:rPr>
        <w:t>2 </w:t>
      </w:r>
      <w:r>
        <w:rPr>
          <w:spacing w:val="2"/>
        </w:rPr>
        <w:t>）、甲烷（</w:t>
      </w:r>
      <w:r>
        <w:rPr>
          <w:rFonts w:ascii="Times New Roman" w:hAnsi="Times New Roman" w:eastAsia="Times New Roman" w:cs="Times New Roman"/>
        </w:rPr>
        <w:t>CH</w:t>
      </w:r>
      <w:r>
        <w:rPr>
          <w:rFonts w:ascii="Times New Roman" w:hAnsi="Times New Roman" w:eastAsia="Times New Roman" w:cs="Times New Roman"/>
          <w:sz w:val="18"/>
          <w:szCs w:val="18"/>
          <w:spacing w:val="2"/>
          <w:position w:val="-2"/>
        </w:rPr>
        <w:t>4 </w:t>
      </w:r>
      <w:r>
        <w:rPr>
          <w:spacing w:val="2"/>
        </w:rPr>
        <w:t>）、氧化亚氮（</w:t>
      </w:r>
      <w:r>
        <w:rPr>
          <w:rFonts w:ascii="Times New Roman" w:hAnsi="Times New Roman" w:eastAsia="Times New Roman" w:cs="Times New Roman"/>
          <w:spacing w:val="2"/>
        </w:rPr>
        <w:t>N</w:t>
      </w:r>
      <w:r>
        <w:rPr>
          <w:rFonts w:ascii="Times New Roman" w:hAnsi="Times New Roman" w:eastAsia="Times New Roman" w:cs="Times New Roman"/>
          <w:sz w:val="18"/>
          <w:szCs w:val="18"/>
          <w:spacing w:val="2"/>
          <w:position w:val="-2"/>
        </w:rPr>
        <w:t>2</w:t>
      </w:r>
      <w:r>
        <w:rPr>
          <w:rFonts w:ascii="Times New Roman" w:hAnsi="Times New Roman" w:eastAsia="Times New Roman" w:cs="Times New Roman"/>
          <w:spacing w:val="2"/>
        </w:rPr>
        <w:t>O</w:t>
      </w:r>
      <w:r>
        <w:rPr>
          <w:spacing w:val="2"/>
        </w:rPr>
        <w:t>）、</w:t>
      </w:r>
      <w:r>
        <w:rPr>
          <w:spacing w:val="6"/>
        </w:rPr>
        <w:t xml:space="preserve"> </w:t>
      </w:r>
      <w:r>
        <w:rPr>
          <w:spacing w:val="-4"/>
        </w:rPr>
        <w:t>氢氟碳化物（</w:t>
      </w:r>
      <w:r>
        <w:rPr>
          <w:rFonts w:ascii="Times New Roman" w:hAnsi="Times New Roman" w:eastAsia="Times New Roman" w:cs="Times New Roman"/>
          <w:spacing w:val="-4"/>
        </w:rPr>
        <w:t>HFCs</w:t>
      </w:r>
      <w:r>
        <w:rPr>
          <w:spacing w:val="-4"/>
        </w:rPr>
        <w:t>）和全氟化碳（</w:t>
      </w:r>
      <w:r>
        <w:rPr>
          <w:rFonts w:ascii="Times New Roman" w:hAnsi="Times New Roman" w:eastAsia="Times New Roman" w:cs="Times New Roman"/>
          <w:spacing w:val="-4"/>
        </w:rPr>
        <w:t>PFCs</w:t>
      </w:r>
      <w:r>
        <w:rPr>
          <w:spacing w:val="-4"/>
        </w:rPr>
        <w:t>）、六氟化硫（</w:t>
      </w:r>
      <w:r>
        <w:rPr>
          <w:rFonts w:ascii="Times New Roman" w:hAnsi="Times New Roman" w:eastAsia="Times New Roman" w:cs="Times New Roman"/>
          <w:spacing w:val="-4"/>
        </w:rPr>
        <w:t>SF</w:t>
      </w:r>
      <w:r>
        <w:rPr>
          <w:rFonts w:ascii="Times New Roman" w:hAnsi="Times New Roman" w:eastAsia="Times New Roman" w:cs="Times New Roman"/>
          <w:sz w:val="18"/>
          <w:szCs w:val="18"/>
          <w:spacing w:val="-4"/>
          <w:position w:val="-2"/>
        </w:rPr>
        <w:t>6 </w:t>
      </w:r>
      <w:r>
        <w:rPr>
          <w:spacing w:val="-4"/>
        </w:rPr>
        <w:t>）、三氟</w:t>
      </w:r>
      <w:r>
        <w:rPr>
          <w:spacing w:val="17"/>
        </w:rPr>
        <w:t xml:space="preserve"> </w:t>
      </w:r>
      <w:r>
        <w:rPr>
          <w:spacing w:val="-1"/>
        </w:rPr>
        <w:t>化氮（</w:t>
      </w:r>
      <w:r>
        <w:rPr>
          <w:rFonts w:ascii="Times New Roman" w:hAnsi="Times New Roman" w:eastAsia="Times New Roman" w:cs="Times New Roman"/>
          <w:spacing w:val="-1"/>
        </w:rPr>
        <w:t>NF</w:t>
      </w:r>
      <w:r>
        <w:rPr>
          <w:rFonts w:ascii="Times New Roman" w:hAnsi="Times New Roman" w:eastAsia="Times New Roman" w:cs="Times New Roman"/>
          <w:sz w:val="18"/>
          <w:szCs w:val="18"/>
          <w:spacing w:val="-1"/>
          <w:position w:val="-2"/>
        </w:rPr>
        <w:t>3 </w:t>
      </w:r>
      <w:r>
        <w:rPr>
          <w:spacing w:val="-1"/>
        </w:rPr>
        <w:t>）。碳足迹的计算结果为产品生命周期各种温室气体排放</w:t>
      </w:r>
      <w:r>
        <w:rPr/>
        <w:t xml:space="preserve"> </w:t>
      </w:r>
      <w:r>
        <w:rPr>
          <w:spacing w:val="-5"/>
        </w:rPr>
        <w:t>量之和，用二氧化碳当量（</w:t>
      </w:r>
      <w:r>
        <w:rPr>
          <w:rFonts w:ascii="Times New Roman" w:hAnsi="Times New Roman" w:eastAsia="Times New Roman" w:cs="Times New Roman"/>
          <w:spacing w:val="-5"/>
        </w:rPr>
        <w:t>CO</w:t>
      </w: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2</w:t>
      </w:r>
      <w:r>
        <w:rPr>
          <w:rFonts w:ascii="Times New Roman" w:hAnsi="Times New Roman" w:eastAsia="Times New Roman" w:cs="Times New Roman"/>
          <w:spacing w:val="-5"/>
        </w:rPr>
        <w:t>e</w:t>
      </w:r>
      <w:r>
        <w:rPr>
          <w:spacing w:val="-5"/>
        </w:rPr>
        <w:t>）表示，</w:t>
      </w:r>
      <w:r>
        <w:rPr>
          <w:spacing w:val="-6"/>
        </w:rPr>
        <w:t>单位为</w:t>
      </w:r>
      <w:r>
        <w:rPr>
          <w:spacing w:val="-69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>kgCO</w:t>
      </w:r>
      <w:r>
        <w:rPr>
          <w:rFonts w:ascii="Times New Roman" w:hAnsi="Times New Roman" w:eastAsia="Times New Roman" w:cs="Times New Roman"/>
          <w:sz w:val="18"/>
          <w:szCs w:val="18"/>
          <w:spacing w:val="-6"/>
        </w:rPr>
        <w:t>2</w:t>
      </w:r>
      <w:r>
        <w:rPr>
          <w:rFonts w:ascii="Times New Roman" w:hAnsi="Times New Roman" w:eastAsia="Times New Roman" w:cs="Times New Roman"/>
          <w:spacing w:val="-6"/>
        </w:rPr>
        <w:t>e </w:t>
      </w:r>
      <w:r>
        <w:rPr>
          <w:spacing w:val="-6"/>
        </w:rPr>
        <w:t>或者</w:t>
      </w:r>
      <w:r>
        <w:rPr>
          <w:spacing w:val="-64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>gCO</w:t>
      </w:r>
      <w:r>
        <w:rPr>
          <w:rFonts w:ascii="Times New Roman" w:hAnsi="Times New Roman" w:eastAsia="Times New Roman" w:cs="Times New Roman"/>
          <w:sz w:val="18"/>
          <w:szCs w:val="18"/>
          <w:spacing w:val="-6"/>
        </w:rPr>
        <w:t>2</w:t>
      </w:r>
      <w:r>
        <w:rPr>
          <w:rFonts w:ascii="Times New Roman" w:hAnsi="Times New Roman" w:eastAsia="Times New Roman" w:cs="Times New Roman"/>
          <w:spacing w:val="-6"/>
        </w:rPr>
        <w:t>e</w:t>
      </w:r>
      <w:r>
        <w:rPr>
          <w:spacing w:val="-6"/>
        </w:rPr>
        <w:t>。</w:t>
      </w:r>
      <w:r>
        <w:rPr/>
        <w:t xml:space="preserve"> </w:t>
      </w:r>
      <w:r>
        <w:rPr>
          <w:spacing w:val="-2"/>
        </w:rPr>
        <w:t>全球变暖潜值（</w:t>
      </w:r>
      <w:r>
        <w:rPr>
          <w:rFonts w:ascii="Times New Roman" w:hAnsi="Times New Roman" w:eastAsia="Times New Roman" w:cs="Times New Roman"/>
          <w:spacing w:val="-2"/>
        </w:rPr>
        <w:t>Gobal Warmin</w:t>
      </w:r>
      <w:r>
        <w:rPr>
          <w:rFonts w:ascii="Times New Roman" w:hAnsi="Times New Roman" w:eastAsia="Times New Roman" w:cs="Times New Roman"/>
          <w:spacing w:val="-3"/>
        </w:rPr>
        <w:t>g Potential</w:t>
      </w:r>
      <w:r>
        <w:rPr>
          <w:rFonts w:ascii="Times New Roman" w:hAnsi="Times New Roman" w:eastAsia="Times New Roman" w:cs="Times New Roman"/>
          <w:spacing w:val="-34"/>
        </w:rPr>
        <w:t xml:space="preserve"> </w:t>
      </w:r>
      <w:r>
        <w:rPr>
          <w:spacing w:val="-3"/>
        </w:rPr>
        <w:t>，简称</w:t>
      </w:r>
      <w:r>
        <w:rPr>
          <w:spacing w:val="-63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GWP</w:t>
      </w:r>
      <w:r>
        <w:rPr>
          <w:spacing w:val="16"/>
        </w:rPr>
        <w:t>），</w:t>
      </w:r>
      <w:r>
        <w:rPr>
          <w:spacing w:val="-3"/>
        </w:rPr>
        <w:t>即各种温室</w:t>
      </w:r>
      <w:r>
        <w:rPr/>
        <w:t xml:space="preserve"> </w:t>
      </w:r>
      <w:r>
        <w:rPr>
          <w:spacing w:val="-3"/>
        </w:rPr>
        <w:t>气体的二氧化碳当量值，通常采用联合国政府间</w:t>
      </w:r>
      <w:r>
        <w:rPr>
          <w:spacing w:val="-4"/>
        </w:rPr>
        <w:t>气候变化专家委员会</w:t>
      </w:r>
      <w:r>
        <w:rPr/>
        <w:t xml:space="preserve"> </w:t>
      </w:r>
      <w:r>
        <w:rPr>
          <w:spacing w:val="-3"/>
        </w:rPr>
        <w:t>（</w:t>
      </w:r>
      <w:r>
        <w:rPr>
          <w:rFonts w:ascii="Times New Roman" w:hAnsi="Times New Roman" w:eastAsia="Times New Roman" w:cs="Times New Roman"/>
          <w:spacing w:val="-3"/>
        </w:rPr>
        <w:t>IPCC</w:t>
      </w:r>
      <w:r>
        <w:rPr>
          <w:spacing w:val="-3"/>
        </w:rPr>
        <w:t>）提供的值，</w:t>
      </w:r>
      <w:r>
        <w:rPr>
          <w:spacing w:val="-65"/>
        </w:rPr>
        <w:t xml:space="preserve"> </w:t>
      </w:r>
      <w:r>
        <w:rPr>
          <w:spacing w:val="-3"/>
        </w:rPr>
        <w:t>目前这套因子被全球范围广泛适用。</w:t>
      </w:r>
    </w:p>
    <w:p>
      <w:pPr>
        <w:pStyle w:val="BodyText"/>
        <w:ind w:left="23" w:right="97" w:firstLine="560"/>
        <w:spacing w:before="50" w:line="350" w:lineRule="auto"/>
        <w:rPr/>
      </w:pPr>
      <w:r>
        <w:rPr>
          <w:spacing w:val="-4"/>
        </w:rPr>
        <w:t>产品碳足迹计算只包含一个完整生命周期评估（</w:t>
      </w:r>
      <w:r>
        <w:rPr>
          <w:rFonts w:ascii="Times New Roman" w:hAnsi="Times New Roman" w:eastAsia="Times New Roman" w:cs="Times New Roman"/>
          <w:spacing w:val="-4"/>
        </w:rPr>
        <w:t>LCA</w:t>
      </w:r>
      <w:r>
        <w:rPr>
          <w:spacing w:val="-4"/>
        </w:rPr>
        <w:t>）的温室气</w:t>
      </w:r>
      <w:r>
        <w:rPr>
          <w:spacing w:val="11"/>
        </w:rPr>
        <w:t xml:space="preserve"> </w:t>
      </w:r>
      <w:r>
        <w:rPr/>
        <w:t>体的评测部分。基于</w:t>
      </w:r>
      <w:r>
        <w:rPr>
          <w:spacing w:val="-65"/>
        </w:rPr>
        <w:t xml:space="preserve"> </w:t>
      </w:r>
      <w:r>
        <w:rPr>
          <w:rFonts w:ascii="Times New Roman" w:hAnsi="Times New Roman" w:eastAsia="Times New Roman" w:cs="Times New Roman"/>
        </w:rPr>
        <w:t>LCA</w:t>
      </w:r>
      <w:r>
        <w:rPr>
          <w:rFonts w:ascii="Times New Roman" w:hAnsi="Times New Roman" w:eastAsia="Times New Roman" w:cs="Times New Roman"/>
          <w:spacing w:val="37"/>
        </w:rPr>
        <w:t xml:space="preserve"> </w:t>
      </w:r>
      <w:r>
        <w:rPr/>
        <w:t>的评价方法，国际上已建</w:t>
      </w:r>
      <w:r>
        <w:rPr>
          <w:spacing w:val="-1"/>
        </w:rPr>
        <w:t>立起多种碳足迹</w:t>
      </w:r>
      <w:r>
        <w:rPr/>
        <w:t xml:space="preserve"> </w:t>
      </w:r>
      <w:r>
        <w:rPr>
          <w:spacing w:val="-3"/>
        </w:rPr>
        <w:t>评估指南和要求，</w:t>
      </w:r>
      <w:r>
        <w:rPr>
          <w:spacing w:val="-72"/>
        </w:rPr>
        <w:t xml:space="preserve"> </w:t>
      </w:r>
      <w:r>
        <w:rPr>
          <w:spacing w:val="-3"/>
        </w:rPr>
        <w:t>目前广泛使用的碳足迹评估标准有三种：</w:t>
      </w:r>
    </w:p>
    <w:p>
      <w:pPr>
        <w:pStyle w:val="BodyText"/>
        <w:ind w:left="22" w:right="96" w:firstLine="560"/>
        <w:spacing w:before="39" w:line="332" w:lineRule="auto"/>
        <w:rPr/>
      </w:pPr>
      <w:r>
        <w:rPr>
          <w:spacing w:val="-4"/>
        </w:rPr>
        <w:t>①《</w:t>
      </w:r>
      <w:r>
        <w:rPr>
          <w:rFonts w:ascii="Times New Roman" w:hAnsi="Times New Roman" w:eastAsia="Times New Roman" w:cs="Times New Roman"/>
          <w:spacing w:val="-4"/>
        </w:rPr>
        <w:t>PAS2050</w:t>
      </w:r>
      <w:r>
        <w:rPr>
          <w:spacing w:val="-4"/>
        </w:rPr>
        <w:t>：</w:t>
      </w:r>
      <w:r>
        <w:rPr>
          <w:rFonts w:ascii="Times New Roman" w:hAnsi="Times New Roman" w:eastAsia="Times New Roman" w:cs="Times New Roman"/>
          <w:spacing w:val="-4"/>
        </w:rPr>
        <w:t>2011 </w:t>
      </w:r>
      <w:r>
        <w:rPr>
          <w:spacing w:val="-4"/>
        </w:rPr>
        <w:t>商品和服务在生命周期内的温室气体排放评</w:t>
      </w:r>
      <w:r>
        <w:rPr>
          <w:spacing w:val="8"/>
        </w:rPr>
        <w:t xml:space="preserve"> </w:t>
      </w:r>
      <w:r>
        <w:rPr>
          <w:spacing w:val="1"/>
        </w:rPr>
        <w:t>价规范》，此标准是由英国标准协会（</w:t>
      </w:r>
      <w:r>
        <w:rPr>
          <w:rFonts w:ascii="Times New Roman" w:hAnsi="Times New Roman" w:eastAsia="Times New Roman" w:cs="Times New Roman"/>
        </w:rPr>
        <w:t>BSI</w:t>
      </w:r>
      <w:r>
        <w:rPr>
          <w:spacing w:val="1"/>
        </w:rPr>
        <w:t>）与碳信托公司（</w:t>
      </w:r>
      <w:r>
        <w:rPr>
          <w:rFonts w:ascii="Times New Roman" w:hAnsi="Times New Roman" w:eastAsia="Times New Roman" w:cs="Times New Roman"/>
        </w:rPr>
        <w:t>Carbon</w:t>
      </w:r>
      <w:r>
        <w:rPr>
          <w:rFonts w:ascii="Times New Roman" w:hAnsi="Times New Roman" w:eastAsia="Times New Roman" w:cs="Times New Roman"/>
          <w:spacing w:val="13"/>
        </w:rPr>
        <w:t xml:space="preserve"> </w:t>
      </w:r>
      <w:r>
        <w:rPr>
          <w:rFonts w:ascii="Times New Roman" w:hAnsi="Times New Roman" w:eastAsia="Times New Roman" w:cs="Times New Roman"/>
        </w:rPr>
        <w:t>Trust</w:t>
      </w:r>
      <w:r>
        <w:rPr>
          <w:spacing w:val="2"/>
        </w:rPr>
        <w:t>）、英国食品和乡村事务部（</w:t>
      </w:r>
      <w:r>
        <w:rPr>
          <w:rFonts w:ascii="Times New Roman" w:hAnsi="Times New Roman" w:eastAsia="Times New Roman" w:cs="Times New Roman"/>
        </w:rPr>
        <w:t>Defra</w:t>
      </w:r>
      <w:r>
        <w:rPr>
          <w:spacing w:val="2"/>
        </w:rPr>
        <w:t>）联合发布，是国际上最早</w:t>
      </w:r>
      <w:r>
        <w:rPr>
          <w:spacing w:val="18"/>
        </w:rPr>
        <w:t xml:space="preserve"> </w:t>
      </w:r>
      <w:r>
        <w:rPr>
          <w:spacing w:val="-4"/>
        </w:rPr>
        <w:t>的、具有具体计算方法的标准，也是目前使用较多的产品碳足迹评价</w:t>
      </w:r>
      <w:r>
        <w:rPr>
          <w:spacing w:val="17"/>
        </w:rPr>
        <w:t xml:space="preserve"> </w:t>
      </w:r>
      <w:r>
        <w:rPr>
          <w:spacing w:val="-3"/>
        </w:rPr>
        <w:t>标准；</w:t>
      </w:r>
    </w:p>
    <w:p>
      <w:pPr>
        <w:pStyle w:val="BodyText"/>
        <w:ind w:left="27" w:right="97" w:firstLine="554"/>
        <w:spacing w:before="208" w:line="313" w:lineRule="auto"/>
        <w:rPr>
          <w:rFonts w:ascii="Times New Roman" w:hAnsi="Times New Roman" w:eastAsia="Times New Roman" w:cs="Times New Roman"/>
        </w:rPr>
      </w:pPr>
      <w:r>
        <w:rPr>
          <w:spacing w:val="-4"/>
        </w:rPr>
        <w:t>②《温室气体核算体系：产品寿命周期核算与报告标准》，此标</w:t>
      </w:r>
      <w:r>
        <w:rPr>
          <w:spacing w:val="9"/>
        </w:rPr>
        <w:t xml:space="preserve"> </w:t>
      </w:r>
      <w:r>
        <w:rPr>
          <w:spacing w:val="-1"/>
        </w:rPr>
        <w:t>准是由世界资源研究所（</w:t>
      </w:r>
      <w:r>
        <w:rPr>
          <w:rFonts w:ascii="Times New Roman" w:hAnsi="Times New Roman" w:eastAsia="Times New Roman" w:cs="Times New Roman"/>
          <w:spacing w:val="-1"/>
        </w:rPr>
        <w:t>World Resources Institute</w:t>
      </w:r>
      <w:r>
        <w:rPr>
          <w:rFonts w:ascii="Times New Roman" w:hAnsi="Times New Roman" w:eastAsia="Times New Roman" w:cs="Times New Roman"/>
          <w:spacing w:val="-34"/>
        </w:rPr>
        <w:t xml:space="preserve"> </w:t>
      </w:r>
      <w:r>
        <w:rPr>
          <w:spacing w:val="-1"/>
        </w:rPr>
        <w:t>，简称</w:t>
      </w:r>
      <w:r>
        <w:rPr>
          <w:spacing w:val="-67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WRI</w:t>
      </w:r>
      <w:r>
        <w:rPr>
          <w:spacing w:val="-1"/>
        </w:rPr>
        <w:t>）和世</w:t>
      </w:r>
      <w:r>
        <w:rPr/>
        <w:t xml:space="preserve"> </w:t>
      </w:r>
      <w:r>
        <w:rPr>
          <w:spacing w:val="23"/>
        </w:rPr>
        <w:t>界可持续发展工商理事会（</w:t>
      </w:r>
      <w:r>
        <w:rPr>
          <w:rFonts w:ascii="Times New Roman" w:hAnsi="Times New Roman" w:eastAsia="Times New Roman" w:cs="Times New Roman"/>
        </w:rPr>
        <w:t>World</w:t>
      </w:r>
      <w:r>
        <w:rPr>
          <w:rFonts w:ascii="Times New Roman" w:hAnsi="Times New Roman" w:eastAsia="Times New Roman" w:cs="Times New Roman"/>
          <w:spacing w:val="43"/>
        </w:rPr>
        <w:t xml:space="preserve"> </w:t>
      </w:r>
      <w:r>
        <w:rPr>
          <w:rFonts w:ascii="Times New Roman" w:hAnsi="Times New Roman" w:eastAsia="Times New Roman" w:cs="Times New Roman"/>
        </w:rPr>
        <w:t>Business</w:t>
      </w:r>
      <w:r>
        <w:rPr>
          <w:rFonts w:ascii="Times New Roman" w:hAnsi="Times New Roman" w:eastAsia="Times New Roman" w:cs="Times New Roman"/>
          <w:spacing w:val="37"/>
        </w:rPr>
        <w:t xml:space="preserve"> </w:t>
      </w:r>
      <w:r>
        <w:rPr>
          <w:rFonts w:ascii="Times New Roman" w:hAnsi="Times New Roman" w:eastAsia="Times New Roman" w:cs="Times New Roman"/>
        </w:rPr>
        <w:t>Council</w:t>
      </w:r>
      <w:r>
        <w:rPr>
          <w:rFonts w:ascii="Times New Roman" w:hAnsi="Times New Roman" w:eastAsia="Times New Roman" w:cs="Times New Roman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</w:rPr>
        <w:t>for</w:t>
      </w:r>
      <w:r>
        <w:rPr>
          <w:rFonts w:ascii="Times New Roman" w:hAnsi="Times New Roman" w:eastAsia="Times New Roman" w:cs="Times New Roman"/>
          <w:spacing w:val="42"/>
        </w:rPr>
        <w:t xml:space="preserve"> </w:t>
      </w:r>
      <w:r>
        <w:rPr>
          <w:rFonts w:ascii="Times New Roman" w:hAnsi="Times New Roman" w:eastAsia="Times New Roman" w:cs="Times New Roman"/>
        </w:rPr>
        <w:t>Sustainable</w:t>
      </w:r>
    </w:p>
    <w:p>
      <w:pPr>
        <w:spacing w:line="313" w:lineRule="auto"/>
        <w:sectPr>
          <w:footerReference w:type="default" r:id="rId6"/>
          <w:pgSz w:w="11906" w:h="16839"/>
          <w:pgMar w:top="400" w:right="1701" w:bottom="1157" w:left="1785" w:header="0" w:footer="991" w:gutter="0"/>
        </w:sectPr>
        <w:rPr>
          <w:rFonts w:ascii="Times New Roman" w:hAnsi="Times New Roman" w:eastAsia="Times New Roman" w:cs="Times New Roman"/>
        </w:rPr>
      </w:pP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ind w:left="18"/>
        <w:spacing w:before="91" w:line="213" w:lineRule="auto"/>
        <w:rPr/>
      </w:pPr>
      <w:r>
        <w:rPr>
          <w:rFonts w:ascii="Times New Roman" w:hAnsi="Times New Roman" w:eastAsia="Times New Roman" w:cs="Times New Roman"/>
          <w:spacing w:val="-1"/>
        </w:rPr>
        <w:t>Development</w:t>
      </w:r>
      <w:r>
        <w:rPr>
          <w:rFonts w:ascii="Times New Roman" w:hAnsi="Times New Roman" w:eastAsia="Times New Roman" w:cs="Times New Roman"/>
          <w:spacing w:val="-38"/>
        </w:rPr>
        <w:t xml:space="preserve"> </w:t>
      </w:r>
      <w:r>
        <w:rPr>
          <w:spacing w:val="-1"/>
        </w:rPr>
        <w:t>，简称</w:t>
      </w:r>
      <w:r>
        <w:rPr>
          <w:spacing w:val="-66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WBCSD</w:t>
      </w:r>
      <w:r>
        <w:rPr>
          <w:spacing w:val="-1"/>
        </w:rPr>
        <w:t>）发</w:t>
      </w:r>
      <w:r>
        <w:rPr>
          <w:spacing w:val="-2"/>
        </w:rPr>
        <w:t>布的产品和供应链标准；</w:t>
      </w:r>
    </w:p>
    <w:p>
      <w:pPr>
        <w:pStyle w:val="BodyText"/>
        <w:ind w:left="25" w:right="97" w:firstLine="556"/>
        <w:spacing w:before="222" w:line="350" w:lineRule="auto"/>
        <w:jc w:val="both"/>
        <w:rPr/>
      </w:pPr>
      <w:r>
        <w:rPr>
          <w:spacing w:val="2"/>
        </w:rPr>
        <w:t>③《</w:t>
      </w:r>
      <w:r>
        <w:rPr>
          <w:rFonts w:ascii="Times New Roman" w:hAnsi="Times New Roman" w:eastAsia="Times New Roman" w:cs="Times New Roman"/>
        </w:rPr>
        <w:t>ISO</w:t>
      </w:r>
      <w:r>
        <w:rPr>
          <w:rFonts w:ascii="Times New Roman" w:hAnsi="Times New Roman" w:eastAsia="Times New Roman" w:cs="Times New Roman"/>
          <w:spacing w:val="2"/>
        </w:rPr>
        <w:t>/</w:t>
      </w:r>
      <w:r>
        <w:rPr>
          <w:rFonts w:ascii="Times New Roman" w:hAnsi="Times New Roman" w:eastAsia="Times New Roman" w:cs="Times New Roman"/>
        </w:rPr>
        <w:t>TS</w:t>
      </w:r>
      <w:r>
        <w:rPr>
          <w:rFonts w:ascii="Times New Roman" w:hAnsi="Times New Roman" w:eastAsia="Times New Roman" w:cs="Times New Roman"/>
          <w:spacing w:val="37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14067</w:t>
      </w:r>
      <w:r>
        <w:rPr>
          <w:spacing w:val="2"/>
        </w:rPr>
        <w:t>：</w:t>
      </w:r>
      <w:r>
        <w:rPr>
          <w:rFonts w:ascii="Times New Roman" w:hAnsi="Times New Roman" w:eastAsia="Times New Roman" w:cs="Times New Roman"/>
          <w:spacing w:val="2"/>
        </w:rPr>
        <w:t>2018  </w:t>
      </w:r>
      <w:r>
        <w:rPr>
          <w:spacing w:val="2"/>
        </w:rPr>
        <w:t>温室气体</w:t>
      </w:r>
      <w:r>
        <w:rPr>
          <w:rFonts w:ascii="Times New Roman" w:hAnsi="Times New Roman" w:eastAsia="Times New Roman" w:cs="Times New Roman"/>
          <w:spacing w:val="2"/>
        </w:rPr>
        <w:t>——</w:t>
      </w:r>
      <w:r>
        <w:rPr>
          <w:spacing w:val="2"/>
        </w:rPr>
        <w:t>产品</w:t>
      </w:r>
      <w:r>
        <w:rPr>
          <w:spacing w:val="1"/>
        </w:rPr>
        <w:t>碳足迹</w:t>
      </w:r>
      <w:r>
        <w:rPr>
          <w:rFonts w:ascii="Times New Roman" w:hAnsi="Times New Roman" w:eastAsia="Times New Roman" w:cs="Times New Roman"/>
          <w:spacing w:val="1"/>
        </w:rPr>
        <w:t>——</w:t>
      </w:r>
      <w:r>
        <w:rPr>
          <w:spacing w:val="1"/>
        </w:rPr>
        <w:t>量化和</w:t>
      </w:r>
      <w:r>
        <w:rPr/>
        <w:t xml:space="preserve"> </w:t>
      </w:r>
      <w:r>
        <w:rPr/>
        <w:t>信息交流的要求与指南》，此标准以</w:t>
      </w:r>
      <w:r>
        <w:rPr>
          <w:spacing w:val="-60"/>
        </w:rPr>
        <w:t xml:space="preserve"> </w:t>
      </w:r>
      <w:r>
        <w:rPr>
          <w:rFonts w:ascii="Times New Roman" w:hAnsi="Times New Roman" w:eastAsia="Times New Roman" w:cs="Times New Roman"/>
        </w:rPr>
        <w:t>PAS 2050 </w:t>
      </w:r>
      <w:r>
        <w:rPr/>
        <w:t>为种子文件，由国际 </w:t>
      </w:r>
      <w:r>
        <w:rPr>
          <w:spacing w:val="-1"/>
        </w:rPr>
        <w:t>标准化组织（</w:t>
      </w:r>
      <w:r>
        <w:rPr>
          <w:rFonts w:ascii="Times New Roman" w:hAnsi="Times New Roman" w:eastAsia="Times New Roman" w:cs="Times New Roman"/>
          <w:spacing w:val="-1"/>
        </w:rPr>
        <w:t>ISO</w:t>
      </w:r>
      <w:r>
        <w:rPr>
          <w:spacing w:val="-1"/>
        </w:rPr>
        <w:t>）编制发布。</w:t>
      </w:r>
    </w:p>
    <w:p>
      <w:pPr>
        <w:pStyle w:val="BodyText"/>
        <w:ind w:left="23" w:right="97" w:firstLine="561"/>
        <w:spacing w:before="42" w:line="345" w:lineRule="auto"/>
        <w:rPr/>
      </w:pPr>
      <w:r>
        <w:rPr>
          <w:spacing w:val="-4"/>
        </w:rPr>
        <w:t>这些产品碳足迹核算标准的目的是是建立一致的、国际间认可的</w:t>
      </w:r>
      <w:r>
        <w:rPr>
          <w:spacing w:val="6"/>
        </w:rPr>
        <w:t xml:space="preserve"> </w:t>
      </w:r>
      <w:r>
        <w:rPr>
          <w:spacing w:val="-1"/>
        </w:rPr>
        <w:t>评估产品碳足迹的方法。</w:t>
      </w:r>
    </w:p>
    <w:p>
      <w:pPr>
        <w:ind w:left="31"/>
        <w:spacing w:before="51" w:line="226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</w:rPr>
        <w:t>二、企业概况</w:t>
      </w:r>
    </w:p>
    <w:p>
      <w:pPr>
        <w:pStyle w:val="BodyText"/>
        <w:ind w:left="579"/>
        <w:spacing w:before="233" w:line="219" w:lineRule="auto"/>
        <w:outlineLvl w:val="1"/>
        <w:rPr/>
      </w:pPr>
      <w:r>
        <w:rPr>
          <w:rFonts w:ascii="Times New Roman" w:hAnsi="Times New Roman" w:eastAsia="Times New Roman" w:cs="Times New Roman"/>
          <w:spacing w:val="-3"/>
        </w:rPr>
        <w:t>2.1</w:t>
      </w:r>
      <w:r>
        <w:rPr>
          <w:rFonts w:ascii="Times New Roman" w:hAnsi="Times New Roman" w:eastAsia="Times New Roman" w:cs="Times New Roman"/>
          <w:spacing w:val="15"/>
        </w:rPr>
        <w:t xml:space="preserve"> </w:t>
      </w:r>
      <w:r>
        <w:rPr>
          <w:spacing w:val="-3"/>
        </w:rPr>
        <w:t>企业简介</w:t>
      </w:r>
    </w:p>
    <w:p>
      <w:pPr>
        <w:spacing w:line="389" w:lineRule="auto"/>
        <w:rPr>
          <w:rFonts w:ascii="Arial"/>
          <w:sz w:val="21"/>
        </w:rPr>
      </w:pPr>
      <w:r/>
    </w:p>
    <w:p>
      <w:pPr>
        <w:pStyle w:val="BodyText"/>
        <w:ind w:left="143" w:right="97" w:firstLine="435"/>
        <w:spacing w:before="91" w:line="409" w:lineRule="auto"/>
        <w:rPr/>
      </w:pPr>
      <w:r>
        <w:rPr>
          <w:spacing w:val="-3"/>
        </w:rPr>
        <w:t>哈尔滨群勤环保科技有限公司成立于</w:t>
      </w:r>
      <w:r>
        <w:rPr>
          <w:spacing w:val="-68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2008 </w:t>
      </w:r>
      <w:r>
        <w:rPr>
          <w:spacing w:val="-3"/>
        </w:rPr>
        <w:t>年，注</w:t>
      </w:r>
      <w:r>
        <w:rPr>
          <w:spacing w:val="-4"/>
        </w:rPr>
        <w:t>册资本</w:t>
      </w:r>
      <w:r>
        <w:rPr>
          <w:spacing w:val="-64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2000 </w:t>
      </w:r>
      <w:r>
        <w:rPr>
          <w:spacing w:val="-4"/>
        </w:rPr>
        <w:t>万</w:t>
      </w:r>
      <w:r>
        <w:rPr/>
        <w:t xml:space="preserve"> </w:t>
      </w:r>
      <w:r>
        <w:rPr>
          <w:spacing w:val="-1"/>
        </w:rPr>
        <w:t>元，占地面积</w:t>
      </w:r>
      <w:r>
        <w:rPr>
          <w:spacing w:val="-48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23450 </w:t>
      </w:r>
      <w:r>
        <w:rPr>
          <w:spacing w:val="-1"/>
        </w:rPr>
        <w:t>平方米，位于黑龙江省哈尔滨市呼兰区双井街</w:t>
      </w:r>
      <w:r>
        <w:rPr/>
        <w:t xml:space="preserve"> </w:t>
      </w:r>
      <w:r>
        <w:rPr/>
        <w:t>道办事处黄平村，是集电子废弃物回收、拆</w:t>
      </w:r>
      <w:r>
        <w:rPr>
          <w:spacing w:val="-1"/>
        </w:rPr>
        <w:t>解、处置和资源循环再</w:t>
      </w:r>
      <w:r>
        <w:rPr/>
        <w:t xml:space="preserve"> </w:t>
      </w:r>
      <w:r>
        <w:rPr/>
        <w:t>利用为一体的综合企业，是黑龙江首家获取</w:t>
      </w:r>
      <w:r>
        <w:rPr>
          <w:spacing w:val="-1"/>
        </w:rPr>
        <w:t>废旧电器、电子产品回</w:t>
      </w:r>
      <w:r>
        <w:rPr/>
        <w:t xml:space="preserve"> </w:t>
      </w:r>
      <w:r>
        <w:rPr/>
        <w:t>收拆解处置资质的环保企业，黑龙江首家列</w:t>
      </w:r>
      <w:r>
        <w:rPr>
          <w:spacing w:val="-1"/>
        </w:rPr>
        <w:t>入《电子废物拆解利用</w:t>
      </w:r>
      <w:r>
        <w:rPr/>
        <w:t xml:space="preserve"> </w:t>
      </w:r>
      <w:r>
        <w:rPr/>
        <w:t>处置名录》的独立法人单位，哈尔滨市唯一</w:t>
      </w:r>
      <w:r>
        <w:rPr>
          <w:spacing w:val="-1"/>
        </w:rPr>
        <w:t>获得《废弃电器电子产</w:t>
      </w:r>
      <w:r>
        <w:rPr/>
        <w:t xml:space="preserve"> </w:t>
      </w:r>
      <w:r>
        <w:rPr/>
        <w:t>品拆解处理资格证书》的拆解企业。公司年</w:t>
      </w:r>
      <w:r>
        <w:rPr>
          <w:spacing w:val="-1"/>
        </w:rPr>
        <w:t>处理废旧五大类家电的</w:t>
      </w:r>
      <w:r>
        <w:rPr/>
        <w:t xml:space="preserve"> </w:t>
      </w:r>
      <w:r>
        <w:rPr>
          <w:spacing w:val="-2"/>
        </w:rPr>
        <w:t>能力为</w:t>
      </w:r>
      <w:r>
        <w:rPr>
          <w:spacing w:val="-38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136.2</w:t>
      </w:r>
      <w:r>
        <w:rPr>
          <w:rFonts w:ascii="Times New Roman" w:hAnsi="Times New Roman" w:eastAsia="Times New Roman" w:cs="Times New Roman"/>
          <w:spacing w:val="18"/>
          <w:w w:val="101"/>
        </w:rPr>
        <w:t xml:space="preserve"> </w:t>
      </w:r>
      <w:r>
        <w:rPr>
          <w:spacing w:val="-2"/>
        </w:rPr>
        <w:t>万台、其它小型电子类废弃物</w:t>
      </w:r>
      <w:r>
        <w:rPr>
          <w:spacing w:val="-57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5.05 </w:t>
      </w:r>
      <w:r>
        <w:rPr>
          <w:spacing w:val="-2"/>
        </w:rPr>
        <w:t>万吨，</w:t>
      </w:r>
      <w:r>
        <w:rPr>
          <w:spacing w:val="-3"/>
        </w:rPr>
        <w:t>有效缓解了</w:t>
      </w:r>
      <w:r>
        <w:rPr/>
        <w:t xml:space="preserve"> </w:t>
      </w:r>
      <w:r>
        <w:rPr/>
        <w:t>社会产生的电子废物的处理压力，减轻了不</w:t>
      </w:r>
      <w:r>
        <w:rPr>
          <w:spacing w:val="-1"/>
        </w:rPr>
        <w:t>合理回收带来的环境风</w:t>
      </w:r>
      <w:r>
        <w:rPr/>
        <w:t xml:space="preserve"> </w:t>
      </w:r>
      <w:r>
        <w:rPr>
          <w:spacing w:val="-1"/>
        </w:rPr>
        <w:t>险，实现变废为宝，具有显著的社会效益。</w:t>
      </w:r>
      <w:r>
        <w:rPr>
          <w:spacing w:val="-2"/>
        </w:rPr>
        <w:t>公司现有员工</w:t>
      </w:r>
      <w:r>
        <w:rPr>
          <w:spacing w:val="-37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126 </w:t>
      </w:r>
      <w:r>
        <w:rPr>
          <w:spacing w:val="-2"/>
        </w:rPr>
        <w:t>人，</w:t>
      </w:r>
    </w:p>
    <w:p>
      <w:pPr>
        <w:pStyle w:val="BodyText"/>
        <w:ind w:left="147" w:hanging="1"/>
        <w:spacing w:before="39" w:line="405" w:lineRule="auto"/>
        <w:rPr/>
      </w:pPr>
      <w:r>
        <w:rPr>
          <w:spacing w:val="-5"/>
        </w:rPr>
        <w:t>其中管理团队共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21 </w:t>
      </w:r>
      <w:r>
        <w:rPr>
          <w:spacing w:val="-5"/>
        </w:rPr>
        <w:t>人，管理人员占比</w:t>
      </w:r>
      <w:r>
        <w:rPr>
          <w:spacing w:val="-37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17%</w:t>
      </w:r>
      <w:r>
        <w:rPr>
          <w:spacing w:val="-5"/>
        </w:rPr>
        <w:t>。公司秉承各岗位人员多</w:t>
      </w:r>
      <w:r>
        <w:rPr/>
        <w:t xml:space="preserve"> </w:t>
      </w:r>
      <w:r>
        <w:rPr>
          <w:spacing w:val="-1"/>
        </w:rPr>
        <w:t>能手，多能工的人才培养理念，不断提高企业各岗位人员多方面发</w:t>
      </w:r>
      <w:r>
        <w:rPr>
          <w:spacing w:val="8"/>
        </w:rPr>
        <w:t xml:space="preserve">  </w:t>
      </w:r>
      <w:r>
        <w:rPr>
          <w:spacing w:val="-1"/>
        </w:rPr>
        <w:t>展的能力，培养出一支有综合性技能人才的企业管理团队。团队中</w:t>
      </w:r>
      <w:r>
        <w:rPr>
          <w:spacing w:val="8"/>
        </w:rPr>
        <w:t xml:space="preserve">  </w:t>
      </w:r>
      <w:r>
        <w:rPr>
          <w:spacing w:val="-11"/>
        </w:rPr>
        <w:t>具有大专及以上学历人员</w:t>
      </w:r>
      <w:r>
        <w:rPr>
          <w:spacing w:val="-40"/>
        </w:rPr>
        <w:t xml:space="preserve"> </w:t>
      </w:r>
      <w:r>
        <w:rPr>
          <w:rFonts w:ascii="Times New Roman" w:hAnsi="Times New Roman" w:eastAsia="Times New Roman" w:cs="Times New Roman"/>
          <w:spacing w:val="-11"/>
        </w:rPr>
        <w:t>16 </w:t>
      </w:r>
      <w:r>
        <w:rPr>
          <w:spacing w:val="-11"/>
        </w:rPr>
        <w:t>人，占比</w:t>
      </w:r>
      <w:r>
        <w:rPr>
          <w:spacing w:val="-38"/>
        </w:rPr>
        <w:t xml:space="preserve"> </w:t>
      </w:r>
      <w:r>
        <w:rPr>
          <w:rFonts w:ascii="Times New Roman" w:hAnsi="Times New Roman" w:eastAsia="Times New Roman" w:cs="Times New Roman"/>
          <w:spacing w:val="-11"/>
        </w:rPr>
        <w:t>13%</w:t>
      </w:r>
      <w:r>
        <w:rPr>
          <w:spacing w:val="-11"/>
        </w:rPr>
        <w:t>，具有</w:t>
      </w:r>
      <w:r>
        <w:rPr>
          <w:spacing w:val="-12"/>
        </w:rPr>
        <w:t>中级会计职称</w:t>
      </w:r>
      <w:r>
        <w:rPr>
          <w:spacing w:val="-67"/>
        </w:rPr>
        <w:t xml:space="preserve"> </w:t>
      </w:r>
      <w:r>
        <w:rPr>
          <w:rFonts w:ascii="Times New Roman" w:hAnsi="Times New Roman" w:eastAsia="Times New Roman" w:cs="Times New Roman"/>
          <w:spacing w:val="-12"/>
        </w:rPr>
        <w:t>2</w:t>
      </w:r>
      <w:r>
        <w:rPr>
          <w:rFonts w:ascii="Times New Roman" w:hAnsi="Times New Roman" w:eastAsia="Times New Roman" w:cs="Times New Roman"/>
          <w:spacing w:val="14"/>
        </w:rPr>
        <w:t xml:space="preserve"> </w:t>
      </w:r>
      <w:r>
        <w:rPr>
          <w:spacing w:val="-12"/>
        </w:rPr>
        <w:t>人。</w:t>
      </w:r>
    </w:p>
    <w:p>
      <w:pPr>
        <w:pStyle w:val="BodyText"/>
        <w:ind w:left="579"/>
        <w:spacing w:before="186" w:line="219" w:lineRule="auto"/>
        <w:rPr/>
      </w:pPr>
      <w:r>
        <w:rPr>
          <w:spacing w:val="-4"/>
        </w:rPr>
        <w:t>哈尔滨群勤中心处理的电子废弃物主要包括：电视、冰箱、洗衣</w:t>
      </w:r>
    </w:p>
    <w:p>
      <w:pPr>
        <w:spacing w:line="219" w:lineRule="auto"/>
        <w:sectPr>
          <w:footerReference w:type="default" r:id="rId7"/>
          <w:pgSz w:w="11906" w:h="16839"/>
          <w:pgMar w:top="400" w:right="1701" w:bottom="1157" w:left="1785" w:header="0" w:footer="992" w:gutter="0"/>
        </w:sectPr>
        <w:rPr/>
      </w:pP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pStyle w:val="BodyText"/>
        <w:ind w:left="143"/>
        <w:spacing w:before="91" w:line="409" w:lineRule="auto"/>
        <w:rPr/>
      </w:pPr>
      <w:r>
        <w:rPr>
          <w:spacing w:val="-6"/>
        </w:rPr>
        <w:t>机、房间空调器、微型计算机（“</w:t>
      </w:r>
      <w:r>
        <w:rPr>
          <w:spacing w:val="-105"/>
        </w:rPr>
        <w:t xml:space="preserve"> </w:t>
      </w:r>
      <w:r>
        <w:rPr>
          <w:spacing w:val="-6"/>
        </w:rPr>
        <w:t>四机一脑</w:t>
      </w:r>
      <w:r>
        <w:rPr>
          <w:spacing w:val="-103"/>
        </w:rPr>
        <w:t xml:space="preserve"> </w:t>
      </w:r>
      <w:r>
        <w:rPr>
          <w:spacing w:val="-6"/>
        </w:rPr>
        <w:t>”）等</w:t>
      </w:r>
      <w:r>
        <w:rPr>
          <w:spacing w:val="-38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>14 </w:t>
      </w:r>
      <w:r>
        <w:rPr>
          <w:spacing w:val="-6"/>
        </w:rPr>
        <w:t>大类，</w:t>
      </w:r>
      <w:r>
        <w:rPr>
          <w:spacing w:val="-7"/>
        </w:rPr>
        <w:t>以及基</w:t>
      </w:r>
      <w:r>
        <w:rPr/>
        <w:t xml:space="preserve"> </w:t>
      </w:r>
      <w:r>
        <w:rPr/>
        <w:t>金补贴外的电子废弃物（包括政企单位涉密</w:t>
      </w:r>
      <w:r>
        <w:rPr>
          <w:spacing w:val="-1"/>
        </w:rPr>
        <w:t>资料、固定资产处理与</w:t>
      </w:r>
      <w:r>
        <w:rPr/>
        <w:t xml:space="preserve">  </w:t>
      </w:r>
      <w:r>
        <w:rPr/>
        <w:t>处置服务）。电废业务以实体产业为基础，</w:t>
      </w:r>
      <w:r>
        <w:rPr>
          <w:spacing w:val="-1"/>
        </w:rPr>
        <w:t>以线下采销市场协同和</w:t>
      </w:r>
      <w:r>
        <w:rPr/>
        <w:t xml:space="preserve">  </w:t>
      </w:r>
      <w:r>
        <w:rPr/>
        <w:t>线上易再生网交易平台为两翼，形成了覆盖</w:t>
      </w:r>
      <w:r>
        <w:rPr>
          <w:spacing w:val="-1"/>
        </w:rPr>
        <w:t>回收、初加工和深加工</w:t>
      </w:r>
      <w:r>
        <w:rPr/>
        <w:t xml:space="preserve">  </w:t>
      </w:r>
      <w:r>
        <w:rPr>
          <w:spacing w:val="-3"/>
        </w:rPr>
        <w:t>全产业链的大格局。以“</w:t>
      </w:r>
      <w:r>
        <w:rPr>
          <w:spacing w:val="-100"/>
        </w:rPr>
        <w:t xml:space="preserve"> </w:t>
      </w:r>
      <w:r>
        <w:rPr>
          <w:spacing w:val="-3"/>
        </w:rPr>
        <w:t>四机一脑</w:t>
      </w:r>
      <w:r>
        <w:rPr>
          <w:spacing w:val="-103"/>
        </w:rPr>
        <w:t xml:space="preserve"> </w:t>
      </w:r>
      <w:r>
        <w:rPr>
          <w:spacing w:val="-3"/>
        </w:rPr>
        <w:t>”拆解为业务主体，通过“手动</w:t>
      </w:r>
      <w:r>
        <w:rPr/>
        <w:t xml:space="preserve">  </w:t>
      </w:r>
      <w:r>
        <w:rPr>
          <w:spacing w:val="-5"/>
        </w:rPr>
        <w:t>拆解</w:t>
      </w:r>
      <w:r>
        <w:rPr>
          <w:rFonts w:ascii="Times New Roman" w:hAnsi="Times New Roman" w:eastAsia="Times New Roman" w:cs="Times New Roman"/>
          <w:spacing w:val="-5"/>
        </w:rPr>
        <w:t>+</w:t>
      </w:r>
      <w:r>
        <w:rPr>
          <w:spacing w:val="-5"/>
        </w:rPr>
        <w:t>机械化破碎</w:t>
      </w:r>
      <w:r>
        <w:rPr>
          <w:spacing w:val="-93"/>
        </w:rPr>
        <w:t xml:space="preserve"> </w:t>
      </w:r>
      <w:r>
        <w:rPr>
          <w:spacing w:val="-5"/>
        </w:rPr>
        <w:t>”的精细化拆解方式，采用从回收到处理的全天候</w:t>
      </w:r>
      <w:r>
        <w:rPr/>
        <w:t xml:space="preserve"> </w:t>
      </w:r>
      <w:r>
        <w:rPr/>
        <w:t>监管，实现了对电子废弃物的减量化、再利</w:t>
      </w:r>
      <w:r>
        <w:rPr>
          <w:spacing w:val="-1"/>
        </w:rPr>
        <w:t>用、再循环；同时不断</w:t>
      </w:r>
      <w:r>
        <w:rPr/>
        <w:t xml:space="preserve">  </w:t>
      </w:r>
      <w:r>
        <w:rPr/>
        <w:t>延伸产业链条，推动产业深加工，开展铜铝深加</w:t>
      </w:r>
      <w:r>
        <w:rPr>
          <w:spacing w:val="-1"/>
        </w:rPr>
        <w:t>工、</w:t>
      </w:r>
      <w:r>
        <w:rPr>
          <w:rFonts w:ascii="Times New Roman" w:hAnsi="Times New Roman" w:eastAsia="Times New Roman" w:cs="Times New Roman"/>
          <w:spacing w:val="-1"/>
        </w:rPr>
        <w:t>PCB </w:t>
      </w:r>
      <w:r>
        <w:rPr>
          <w:spacing w:val="-1"/>
        </w:rPr>
        <w:t>处理、塑</w:t>
      </w:r>
      <w:r>
        <w:rPr/>
        <w:t xml:space="preserve"> </w:t>
      </w:r>
      <w:r>
        <w:rPr>
          <w:spacing w:val="-5"/>
        </w:rPr>
        <w:t>料造粒深加工，深挖产业潜力价值。公司主营业务为四机一脑拆解，</w:t>
      </w:r>
      <w:r>
        <w:rPr>
          <w:spacing w:val="1"/>
        </w:rPr>
        <w:t xml:space="preserve"> </w:t>
      </w:r>
      <w:r>
        <w:rPr>
          <w:spacing w:val="-4"/>
        </w:rPr>
        <w:t>共有</w:t>
      </w:r>
      <w:r>
        <w:rPr>
          <w:spacing w:val="-48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5 </w:t>
      </w:r>
      <w:r>
        <w:rPr>
          <w:spacing w:val="-4"/>
        </w:rPr>
        <w:t>条拆解线，年最大处理能力为</w:t>
      </w:r>
      <w:r>
        <w:rPr>
          <w:spacing w:val="-41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150 </w:t>
      </w:r>
      <w:r>
        <w:rPr>
          <w:spacing w:val="-4"/>
        </w:rPr>
        <w:t>万台</w:t>
      </w:r>
      <w:r>
        <w:rPr>
          <w:rFonts w:ascii="Times New Roman" w:hAnsi="Times New Roman" w:eastAsia="Times New Roman" w:cs="Times New Roman"/>
          <w:spacing w:val="-4"/>
        </w:rPr>
        <w:t>/</w:t>
      </w:r>
      <w:r>
        <w:rPr>
          <w:spacing w:val="-4"/>
        </w:rPr>
        <w:t>年，</w:t>
      </w:r>
      <w:r>
        <w:rPr>
          <w:spacing w:val="-82"/>
        </w:rPr>
        <w:t xml:space="preserve"> </w:t>
      </w:r>
      <w:r>
        <w:rPr>
          <w:spacing w:val="-4"/>
        </w:rPr>
        <w:t>目前持有的废弃</w:t>
      </w:r>
      <w:r>
        <w:rPr/>
        <w:t xml:space="preserve"> </w:t>
      </w:r>
      <w:r>
        <w:rPr>
          <w:spacing w:val="-6"/>
        </w:rPr>
        <w:t>电器电子产品拆解</w:t>
      </w:r>
      <w:r>
        <w:rPr>
          <w:spacing w:val="-63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>CRT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-6"/>
        </w:rPr>
        <w:t>电视机</w:t>
      </w:r>
      <w:r>
        <w:rPr>
          <w:rFonts w:ascii="Times New Roman" w:hAnsi="Times New Roman" w:eastAsia="Times New Roman" w:cs="Times New Roman"/>
          <w:spacing w:val="-6"/>
        </w:rPr>
        <w:t>/</w:t>
      </w:r>
      <w:r>
        <w:rPr>
          <w:spacing w:val="-6"/>
        </w:rPr>
        <w:t>电脑、电冰箱、洗</w:t>
      </w:r>
      <w:r>
        <w:rPr>
          <w:spacing w:val="-7"/>
        </w:rPr>
        <w:t>衣机、空调、液晶</w:t>
      </w:r>
      <w:r>
        <w:rPr/>
        <w:t xml:space="preserve"> </w:t>
      </w:r>
      <w:r>
        <w:rPr>
          <w:spacing w:val="-7"/>
        </w:rPr>
        <w:t>电视机</w:t>
      </w:r>
      <w:r>
        <w:rPr>
          <w:rFonts w:ascii="Times New Roman" w:hAnsi="Times New Roman" w:eastAsia="Times New Roman" w:cs="Times New Roman"/>
          <w:spacing w:val="-7"/>
        </w:rPr>
        <w:t>/</w:t>
      </w:r>
      <w:r>
        <w:rPr>
          <w:spacing w:val="-7"/>
        </w:rPr>
        <w:t>电脑资质为</w:t>
      </w:r>
      <w:r>
        <w:rPr>
          <w:spacing w:val="-47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136.2 </w:t>
      </w:r>
      <w:r>
        <w:rPr>
          <w:spacing w:val="-7"/>
        </w:rPr>
        <w:t>万台</w:t>
      </w:r>
      <w:r>
        <w:rPr>
          <w:rFonts w:ascii="Times New Roman" w:hAnsi="Times New Roman" w:eastAsia="Times New Roman" w:cs="Times New Roman"/>
          <w:spacing w:val="-7"/>
        </w:rPr>
        <w:t>/</w:t>
      </w:r>
      <w:r>
        <w:rPr>
          <w:spacing w:val="-7"/>
        </w:rPr>
        <w:t>年。现有设</w:t>
      </w:r>
      <w:r>
        <w:rPr>
          <w:spacing w:val="-8"/>
        </w:rPr>
        <w:t>备工艺技术先进成熟可靠，</w:t>
      </w:r>
      <w:r>
        <w:rPr/>
        <w:t xml:space="preserve"> </w:t>
      </w:r>
      <w:r>
        <w:rPr/>
        <w:t>废弃资源实现高值化、高质化利用，主要再</w:t>
      </w:r>
      <w:r>
        <w:rPr>
          <w:spacing w:val="-1"/>
        </w:rPr>
        <w:t>生资源回收利用率高，</w:t>
      </w:r>
    </w:p>
    <w:p>
      <w:pPr>
        <w:pStyle w:val="BodyText"/>
        <w:ind w:left="147" w:right="140" w:hanging="2"/>
        <w:spacing w:before="40" w:line="398" w:lineRule="auto"/>
        <w:rPr/>
      </w:pPr>
      <w:r>
        <w:rPr>
          <w:spacing w:val="-1"/>
        </w:rPr>
        <w:t>产品附加值高，技术含量高，市场竞争力强。采用的设备设施先进</w:t>
      </w:r>
      <w:r>
        <w:rPr>
          <w:spacing w:val="18"/>
        </w:rPr>
        <w:t xml:space="preserve"> </w:t>
      </w:r>
      <w:r>
        <w:rPr>
          <w:spacing w:val="-1"/>
        </w:rPr>
        <w:t>完备、运转稳定，回收利用自动化程度高、能源利用效率高、经济</w:t>
      </w:r>
    </w:p>
    <w:p>
      <w:pPr>
        <w:pStyle w:val="BodyText"/>
        <w:ind w:left="151"/>
        <w:spacing w:before="40" w:line="220" w:lineRule="auto"/>
        <w:rPr/>
      </w:pPr>
      <w:r>
        <w:rPr>
          <w:spacing w:val="-1"/>
        </w:rPr>
        <w:t>效益较好，装备产业化示范效果明显。</w:t>
      </w:r>
    </w:p>
    <w:p>
      <w:pPr>
        <w:pStyle w:val="BodyText"/>
        <w:ind w:left="579"/>
        <w:spacing w:before="158" w:line="219" w:lineRule="auto"/>
        <w:outlineLvl w:val="1"/>
        <w:rPr/>
      </w:pPr>
      <w:r>
        <w:rPr>
          <w:rFonts w:ascii="Times New Roman" w:hAnsi="Times New Roman" w:eastAsia="Times New Roman" w:cs="Times New Roman"/>
          <w:spacing w:val="-1"/>
        </w:rPr>
        <w:t>2.2 </w:t>
      </w:r>
      <w:r>
        <w:rPr>
          <w:spacing w:val="-1"/>
        </w:rPr>
        <w:t>产品介绍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584"/>
        <w:spacing w:before="92" w:line="220" w:lineRule="auto"/>
        <w:rPr/>
      </w:pPr>
      <w:r>
        <w:rPr>
          <w:spacing w:val="-1"/>
        </w:rPr>
        <w:t>产品名称：塑料类</w:t>
      </w:r>
    </w:p>
    <w:p>
      <w:pPr>
        <w:pStyle w:val="BodyText"/>
        <w:ind w:left="26" w:right="76" w:firstLine="566"/>
        <w:spacing w:before="288" w:line="405" w:lineRule="auto"/>
        <w:rPr/>
      </w:pPr>
      <w:r>
        <w:rPr>
          <w:spacing w:val="-14"/>
        </w:rPr>
        <w:t>公司将回收得来的电视机、洗衣机、冰箱等电子废弃物，通过“手</w:t>
      </w:r>
      <w:r>
        <w:rPr>
          <w:spacing w:val="12"/>
        </w:rPr>
        <w:t xml:space="preserve"> </w:t>
      </w:r>
      <w:r>
        <w:rPr>
          <w:spacing w:val="-1"/>
        </w:rPr>
        <w:t>动拆解</w:t>
      </w:r>
      <w:r>
        <w:rPr>
          <w:rFonts w:ascii="Times New Roman" w:hAnsi="Times New Roman" w:eastAsia="Times New Roman" w:cs="Times New Roman"/>
          <w:spacing w:val="-1"/>
        </w:rPr>
        <w:t>+</w:t>
      </w:r>
      <w:r>
        <w:rPr>
          <w:spacing w:val="-1"/>
        </w:rPr>
        <w:t>机械化破碎</w:t>
      </w:r>
      <w:r>
        <w:rPr>
          <w:spacing w:val="-95"/>
        </w:rPr>
        <w:t xml:space="preserve"> </w:t>
      </w:r>
      <w:r>
        <w:rPr>
          <w:spacing w:val="-1"/>
        </w:rPr>
        <w:t>”的精细化拆解方式，将这些电子废弃物拆解成</w:t>
      </w:r>
      <w:r>
        <w:rPr/>
        <w:t xml:space="preserve"> </w:t>
      </w:r>
      <w:r>
        <w:rPr>
          <w:spacing w:val="-4"/>
        </w:rPr>
        <w:t>可回收利用的塑料、废铁、有色金属类等，采用从回收到处理的全天</w:t>
      </w:r>
      <w:r>
        <w:rPr>
          <w:spacing w:val="13"/>
        </w:rPr>
        <w:t xml:space="preserve"> </w:t>
      </w:r>
      <w:r>
        <w:rPr>
          <w:spacing w:val="-1"/>
        </w:rPr>
        <w:t>候监管，实现了对电子废弃物的减量化、再利用、再循环。</w:t>
      </w:r>
    </w:p>
    <w:p>
      <w:pPr>
        <w:spacing w:line="405" w:lineRule="auto"/>
        <w:sectPr>
          <w:footerReference w:type="default" r:id="rId8"/>
          <w:pgSz w:w="11906" w:h="16839"/>
          <w:pgMar w:top="400" w:right="1723" w:bottom="1156" w:left="1785" w:header="0" w:footer="992" w:gutter="0"/>
        </w:sectPr>
        <w:rPr/>
      </w:pP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32"/>
        <w:spacing w:before="101" w:line="227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</w:rPr>
        <w:t>三、评价目标</w:t>
      </w:r>
    </w:p>
    <w:p>
      <w:pPr>
        <w:pStyle w:val="BodyText"/>
        <w:ind w:left="26" w:right="30" w:firstLine="558"/>
        <w:spacing w:before="231" w:line="354" w:lineRule="auto"/>
        <w:jc w:val="both"/>
        <w:rPr/>
      </w:pPr>
      <w:r>
        <w:rPr>
          <w:spacing w:val="6"/>
        </w:rPr>
        <w:t>产品生命周期评价和碳足迹核查作为生态设计和绿色制造实施</w:t>
      </w:r>
      <w:r>
        <w:rPr>
          <w:spacing w:val="13"/>
        </w:rPr>
        <w:t xml:space="preserve"> </w:t>
      </w:r>
      <w:r>
        <w:rPr>
          <w:spacing w:val="-4"/>
        </w:rPr>
        <w:t>的基础，近年来已经成为人们研究和关注的热点。开展生命周期评价</w:t>
      </w:r>
      <w:r>
        <w:rPr>
          <w:spacing w:val="13"/>
        </w:rPr>
        <w:t xml:space="preserve"> </w:t>
      </w:r>
      <w:r>
        <w:rPr>
          <w:spacing w:val="-4"/>
        </w:rPr>
        <w:t>和碳足迹核查能够最大限度实现资源节约和温室气体减排，对于行业</w:t>
      </w:r>
      <w:r>
        <w:rPr>
          <w:spacing w:val="13"/>
        </w:rPr>
        <w:t xml:space="preserve"> </w:t>
      </w:r>
      <w:r>
        <w:rPr>
          <w:spacing w:val="-4"/>
        </w:rPr>
        <w:t>绿色发展和产业升级转型、应对出口潜在的贸易壁垒而言，都是很有</w:t>
      </w:r>
      <w:r>
        <w:rPr>
          <w:spacing w:val="13"/>
        </w:rPr>
        <w:t xml:space="preserve"> </w:t>
      </w:r>
      <w:r>
        <w:rPr>
          <w:spacing w:val="-2"/>
        </w:rPr>
        <w:t>价值和意义的。</w:t>
      </w:r>
    </w:p>
    <w:p>
      <w:pPr>
        <w:pStyle w:val="BodyText"/>
        <w:ind w:left="23" w:firstLine="561"/>
        <w:spacing w:before="37" w:line="353" w:lineRule="auto"/>
        <w:jc w:val="both"/>
        <w:rPr/>
      </w:pPr>
      <w:r>
        <w:rPr>
          <w:spacing w:val="4"/>
        </w:rPr>
        <w:t>本次评价的目的是获得企业生产</w:t>
      </w:r>
      <w:r>
        <w:rPr>
          <w:spacing w:val="-22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1</w:t>
      </w:r>
      <w:r>
        <w:rPr>
          <w:rFonts w:ascii="Times New Roman" w:hAnsi="Times New Roman" w:eastAsia="Times New Roman" w:cs="Times New Roman"/>
        </w:rPr>
        <w:t>kg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rPr>
          <w:spacing w:val="4"/>
        </w:rPr>
        <w:t>塑料类回收物全生命周期</w:t>
      </w:r>
      <w:r>
        <w:rPr/>
        <w:t xml:space="preserve"> </w:t>
      </w:r>
      <w:r>
        <w:rPr>
          <w:spacing w:val="-4"/>
        </w:rPr>
        <w:t>过程的碳足迹，产品碳足迹核算是公司实现绿色低碳可持续发展的基</w:t>
      </w:r>
      <w:r>
        <w:rPr>
          <w:spacing w:val="15"/>
        </w:rPr>
        <w:t xml:space="preserve"> </w:t>
      </w:r>
      <w:r>
        <w:rPr>
          <w:spacing w:val="-4"/>
        </w:rPr>
        <w:t>础和关键，披露产品的碳足迹是企业履行社会责任的重要一环，本次</w:t>
      </w:r>
      <w:r>
        <w:rPr>
          <w:spacing w:val="15"/>
        </w:rPr>
        <w:t xml:space="preserve"> </w:t>
      </w:r>
      <w:r>
        <w:rPr>
          <w:spacing w:val="-3"/>
        </w:rPr>
        <w:t>评价的结果将为企业的采购商和第三方的有效沟通提供良好的途径，</w:t>
      </w:r>
      <w:r>
        <w:rPr>
          <w:spacing w:val="16"/>
        </w:rPr>
        <w:t xml:space="preserve"> </w:t>
      </w:r>
      <w:r>
        <w:rPr>
          <w:spacing w:val="-1"/>
        </w:rPr>
        <w:t>对促进产品全供应链的温室气体减排具有一定积极作用。</w:t>
      </w:r>
    </w:p>
    <w:p>
      <w:pPr>
        <w:pStyle w:val="BodyText"/>
        <w:ind w:left="25" w:right="30" w:firstLine="560"/>
        <w:spacing w:before="50" w:line="350" w:lineRule="auto"/>
        <w:jc w:val="both"/>
        <w:rPr/>
      </w:pPr>
      <w:r>
        <w:rPr>
          <w:spacing w:val="-4"/>
        </w:rPr>
        <w:t>本次评价结果的潜在沟通对象包括两个群体，一是企业内部管理</w:t>
      </w:r>
      <w:r>
        <w:rPr>
          <w:spacing w:val="6"/>
        </w:rPr>
        <w:t xml:space="preserve"> </w:t>
      </w:r>
      <w:r>
        <w:rPr>
          <w:spacing w:val="-4"/>
        </w:rPr>
        <w:t>人员及其他相关人员；二、企业外部利益相关方，如上游供应商、下</w:t>
      </w:r>
      <w:r>
        <w:rPr>
          <w:spacing w:val="14"/>
        </w:rPr>
        <w:t xml:space="preserve"> </w:t>
      </w:r>
      <w:r>
        <w:rPr>
          <w:spacing w:val="-1"/>
        </w:rPr>
        <w:t>游供应商、地方政府和非政府组织等。</w:t>
      </w:r>
    </w:p>
    <w:p>
      <w:pPr>
        <w:ind w:left="45"/>
        <w:spacing w:before="49" w:line="227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4"/>
        </w:rPr>
        <w:t>四、评价内容</w:t>
      </w:r>
    </w:p>
    <w:p>
      <w:pPr>
        <w:pStyle w:val="BodyText"/>
        <w:ind w:left="577"/>
        <w:spacing w:before="232" w:line="221" w:lineRule="auto"/>
        <w:outlineLvl w:val="1"/>
        <w:rPr/>
      </w:pPr>
      <w:r>
        <w:rPr>
          <w:rFonts w:ascii="Times New Roman" w:hAnsi="Times New Roman" w:eastAsia="Times New Roman" w:cs="Times New Roman"/>
          <w:spacing w:val="-3"/>
        </w:rPr>
        <w:t>4.1</w:t>
      </w:r>
      <w:r>
        <w:rPr>
          <w:rFonts w:ascii="Times New Roman" w:hAnsi="Times New Roman" w:eastAsia="Times New Roman" w:cs="Times New Roman"/>
          <w:spacing w:val="16"/>
        </w:rPr>
        <w:t xml:space="preserve"> </w:t>
      </w:r>
      <w:r>
        <w:rPr>
          <w:spacing w:val="-3"/>
        </w:rPr>
        <w:t>功能单位</w:t>
      </w:r>
    </w:p>
    <w:p>
      <w:pPr>
        <w:pStyle w:val="BodyText"/>
        <w:ind w:left="23" w:right="30" w:firstLine="559"/>
        <w:spacing w:before="208" w:line="353" w:lineRule="auto"/>
        <w:jc w:val="both"/>
        <w:rPr/>
      </w:pPr>
      <w:r>
        <w:rPr>
          <w:spacing w:val="-4"/>
        </w:rPr>
        <w:t>在碳足迹分析中，功能单位是对产品系统中输出功能的度量。功</w:t>
      </w:r>
      <w:r>
        <w:rPr>
          <w:spacing w:val="8"/>
        </w:rPr>
        <w:t xml:space="preserve"> </w:t>
      </w:r>
      <w:r>
        <w:rPr>
          <w:spacing w:val="6"/>
        </w:rPr>
        <w:t>能单位的基本作用是在进行碳足迹分析时提供一个统一计量输入和</w:t>
      </w:r>
      <w:r>
        <w:rPr>
          <w:spacing w:val="1"/>
        </w:rPr>
        <w:t xml:space="preserve"> </w:t>
      </w:r>
      <w:r>
        <w:rPr>
          <w:spacing w:val="-4"/>
        </w:rPr>
        <w:t>输出的基准。功能单位必须是明确的计量单位并且是可测量的，以保</w:t>
      </w:r>
      <w:r>
        <w:rPr>
          <w:spacing w:val="15"/>
        </w:rPr>
        <w:t xml:space="preserve"> </w:t>
      </w:r>
      <w:r>
        <w:rPr>
          <w:spacing w:val="-1"/>
        </w:rPr>
        <w:t>证碳足迹分析结果的可比性。</w:t>
      </w:r>
    </w:p>
    <w:p>
      <w:pPr>
        <w:pStyle w:val="BodyText"/>
        <w:ind w:left="581"/>
        <w:spacing w:before="39" w:line="213" w:lineRule="auto"/>
        <w:rPr/>
      </w:pPr>
      <w:r>
        <w:rPr>
          <w:spacing w:val="-1"/>
        </w:rPr>
        <w:t>报告采用的功能单位为：</w:t>
      </w:r>
      <w:r>
        <w:rPr>
          <w:rFonts w:ascii="Times New Roman" w:hAnsi="Times New Roman" w:eastAsia="Times New Roman" w:cs="Times New Roman"/>
          <w:spacing w:val="-1"/>
        </w:rPr>
        <w:t>1kg </w:t>
      </w:r>
      <w:r>
        <w:rPr>
          <w:spacing w:val="-1"/>
        </w:rPr>
        <w:t>塑料类回收物。</w:t>
      </w:r>
    </w:p>
    <w:p>
      <w:pPr>
        <w:pStyle w:val="BodyText"/>
        <w:ind w:left="577"/>
        <w:spacing w:before="223" w:line="221" w:lineRule="auto"/>
        <w:outlineLvl w:val="1"/>
        <w:rPr/>
      </w:pPr>
      <w:r>
        <w:rPr>
          <w:rFonts w:ascii="Times New Roman" w:hAnsi="Times New Roman" w:eastAsia="Times New Roman" w:cs="Times New Roman"/>
          <w:spacing w:val="-3"/>
        </w:rPr>
        <w:t>4.2</w:t>
      </w:r>
      <w:r>
        <w:rPr>
          <w:rFonts w:ascii="Times New Roman" w:hAnsi="Times New Roman" w:eastAsia="Times New Roman" w:cs="Times New Roman"/>
          <w:spacing w:val="16"/>
        </w:rPr>
        <w:t xml:space="preserve"> </w:t>
      </w:r>
      <w:r>
        <w:rPr>
          <w:spacing w:val="-3"/>
        </w:rPr>
        <w:t>系统边界</w:t>
      </w:r>
    </w:p>
    <w:p>
      <w:pPr>
        <w:pStyle w:val="BodyText"/>
        <w:ind w:left="27" w:right="30" w:firstLine="558"/>
        <w:spacing w:before="208" w:line="346" w:lineRule="auto"/>
        <w:rPr/>
      </w:pPr>
      <w:r>
        <w:rPr>
          <w:spacing w:val="6"/>
        </w:rPr>
        <w:t>本次碳足迹评价系统边界选取从原材料的采集获取到产品分销</w:t>
      </w:r>
      <w:r>
        <w:rPr>
          <w:spacing w:val="12"/>
        </w:rPr>
        <w:t xml:space="preserve"> </w:t>
      </w:r>
      <w:r>
        <w:rPr>
          <w:spacing w:val="-1"/>
        </w:rPr>
        <w:t>生命周期的各个阶段，属于</w:t>
      </w:r>
      <w:r>
        <w:rPr>
          <w:spacing w:val="-65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PAS2050  </w:t>
      </w:r>
      <w:r>
        <w:rPr>
          <w:spacing w:val="-1"/>
        </w:rPr>
        <w:t>定义的</w:t>
      </w:r>
      <w:r>
        <w:rPr>
          <w:rFonts w:ascii="Times New Roman" w:hAnsi="Times New Roman" w:eastAsia="Times New Roman" w:cs="Times New Roman"/>
          <w:spacing w:val="-1"/>
        </w:rPr>
        <w:t>“</w:t>
      </w:r>
      <w:r>
        <w:rPr>
          <w:spacing w:val="-2"/>
        </w:rPr>
        <w:t>从摇篮到大门</w:t>
      </w:r>
      <w:r>
        <w:rPr>
          <w:rFonts w:ascii="Times New Roman" w:hAnsi="Times New Roman" w:eastAsia="Times New Roman" w:cs="Times New Roman"/>
          <w:spacing w:val="-2"/>
        </w:rPr>
        <w:t>”</w:t>
      </w:r>
      <w:r>
        <w:rPr>
          <w:spacing w:val="-2"/>
        </w:rPr>
        <w:t>模式。</w:t>
      </w:r>
    </w:p>
    <w:p>
      <w:pPr>
        <w:pStyle w:val="BodyText"/>
        <w:ind w:right="30"/>
        <w:spacing w:before="41" w:line="213" w:lineRule="auto"/>
        <w:jc w:val="right"/>
        <w:rPr/>
      </w:pPr>
      <w:r>
        <w:rPr>
          <w:spacing w:val="-1"/>
        </w:rPr>
        <w:t>综上，本次产品碳足迹评价系统边界包括：</w:t>
      </w:r>
      <w:r>
        <w:rPr>
          <w:rFonts w:ascii="Times New Roman" w:hAnsi="Times New Roman" w:eastAsia="Times New Roman" w:cs="Times New Roman"/>
          <w:spacing w:val="-1"/>
        </w:rPr>
        <w:t>1kg</w:t>
      </w:r>
      <w:r>
        <w:rPr>
          <w:rFonts w:ascii="Times New Roman" w:hAnsi="Times New Roman" w:eastAsia="Times New Roman" w:cs="Times New Roman"/>
          <w:spacing w:val="-2"/>
        </w:rPr>
        <w:t xml:space="preserve"> </w:t>
      </w:r>
      <w:r>
        <w:rPr>
          <w:spacing w:val="-2"/>
        </w:rPr>
        <w:t>塑料类回收物产</w:t>
      </w:r>
    </w:p>
    <w:p>
      <w:pPr>
        <w:spacing w:line="213" w:lineRule="auto"/>
        <w:sectPr>
          <w:footerReference w:type="default" r:id="rId9"/>
          <w:pgSz w:w="11906" w:h="16839"/>
          <w:pgMar w:top="400" w:right="1768" w:bottom="1155" w:left="1785" w:header="0" w:footer="992" w:gutter="0"/>
        </w:sectPr>
        <w:rPr/>
      </w:pP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ind w:left="48"/>
        <w:spacing w:before="91" w:line="219" w:lineRule="auto"/>
        <w:rPr/>
      </w:pPr>
      <w:r>
        <w:rPr>
          <w:spacing w:val="-2"/>
        </w:rPr>
        <w:t>品从原材料获取、产品生产两个阶段。</w:t>
      </w:r>
    </w:p>
    <w:p>
      <w:pPr>
        <w:pStyle w:val="BodyText"/>
        <w:ind w:left="577"/>
        <w:spacing w:before="211" w:line="219" w:lineRule="auto"/>
        <w:outlineLvl w:val="1"/>
        <w:rPr/>
      </w:pPr>
      <w:r>
        <w:rPr>
          <w:rFonts w:ascii="Times New Roman" w:hAnsi="Times New Roman" w:eastAsia="Times New Roman" w:cs="Times New Roman"/>
          <w:spacing w:val="-1"/>
        </w:rPr>
        <w:t>4.3 </w:t>
      </w:r>
      <w:r>
        <w:rPr>
          <w:spacing w:val="-1"/>
        </w:rPr>
        <w:t>影响类型和评价方法</w:t>
      </w:r>
    </w:p>
    <w:p>
      <w:pPr>
        <w:pStyle w:val="BodyText"/>
        <w:ind w:left="29" w:firstLine="554"/>
        <w:spacing w:before="214" w:line="350" w:lineRule="auto"/>
        <w:tabs>
          <w:tab w:val="left" w:pos="8537"/>
        </w:tabs>
        <w:jc w:val="both"/>
        <w:rPr/>
      </w:pPr>
      <w:r>
        <w:rPr>
          <w:spacing w:val="-6"/>
        </w:rPr>
        <w:t>基于评价目标的定义，本评价只选择了全球变暖这一种影响类型，</w:t>
      </w:r>
      <w:r>
        <w:rPr>
          <w:spacing w:val="7"/>
        </w:rPr>
        <w:t xml:space="preserve"> </w:t>
      </w:r>
      <w:r>
        <w:rPr>
          <w:spacing w:val="-1"/>
        </w:rPr>
        <w:t>并对产品生命周期的全球变暖潜值（</w:t>
      </w:r>
      <w:r>
        <w:rPr>
          <w:rFonts w:ascii="Times New Roman" w:hAnsi="Times New Roman" w:eastAsia="Times New Roman" w:cs="Times New Roman"/>
          <w:spacing w:val="-1"/>
        </w:rPr>
        <w:t>GWP</w:t>
      </w:r>
      <w:r>
        <w:rPr>
          <w:spacing w:val="-1"/>
        </w:rPr>
        <w:t>）进行了分析，因为</w:t>
      </w:r>
      <w:r>
        <w:rPr>
          <w:spacing w:val="-54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CO</w:t>
      </w:r>
      <w:r>
        <w:rPr>
          <w:rFonts w:ascii="Times New Roman" w:hAnsi="Times New Roman" w:eastAsia="Times New Roman" w:cs="Times New Roman"/>
          <w:sz w:val="18"/>
          <w:szCs w:val="18"/>
          <w:spacing w:val="-1"/>
        </w:rPr>
        <w:t>2</w:t>
      </w:r>
      <w:r>
        <w:rPr>
          <w:rFonts w:ascii="Times New Roman" w:hAnsi="Times New Roman" w:eastAsia="Times New Roman" w:cs="Times New Roman"/>
          <w:spacing w:val="-1"/>
        </w:rPr>
        <w:t>e</w:t>
      </w:r>
      <w:r>
        <w:rPr>
          <w:rFonts w:ascii="Times New Roman" w:hAnsi="Times New Roman" w:eastAsia="Times New Roman" w:cs="Times New Roman"/>
        </w:rPr>
        <w:tab/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1"/>
        </w:rPr>
        <w:t>是用来量化产品碳足迹的环境影响指标。</w:t>
      </w:r>
    </w:p>
    <w:p>
      <w:pPr>
        <w:pStyle w:val="BodyText"/>
        <w:ind w:left="22" w:right="119" w:firstLine="560"/>
        <w:spacing w:before="37" w:line="356" w:lineRule="auto"/>
        <w:jc w:val="both"/>
        <w:rPr/>
      </w:pPr>
      <w:r>
        <w:rPr>
          <w:spacing w:val="-2"/>
        </w:rPr>
        <w:t>评价过程中统计了各种温室气体，包括二氧化碳（</w:t>
      </w:r>
      <w:r>
        <w:rPr>
          <w:rFonts w:ascii="Times New Roman" w:hAnsi="Times New Roman" w:eastAsia="Times New Roman" w:cs="Times New Roman"/>
          <w:spacing w:val="-3"/>
        </w:rPr>
        <w:t>CO</w:t>
      </w:r>
      <w:r>
        <w:rPr>
          <w:rFonts w:ascii="Times New Roman" w:hAnsi="Times New Roman" w:eastAsia="Times New Roman" w:cs="Times New Roman"/>
          <w:sz w:val="18"/>
          <w:szCs w:val="18"/>
          <w:spacing w:val="-3"/>
          <w:position w:val="-2"/>
        </w:rPr>
        <w:t>2 </w:t>
      </w:r>
      <w:r>
        <w:rPr>
          <w:spacing w:val="-3"/>
        </w:rPr>
        <w:t>）、甲烷</w:t>
      </w:r>
      <w:r>
        <w:rPr/>
        <w:t xml:space="preserve"> </w:t>
      </w:r>
      <w:r>
        <w:rPr>
          <w:spacing w:val="-3"/>
        </w:rPr>
        <w:t>（</w:t>
      </w:r>
      <w:r>
        <w:rPr>
          <w:rFonts w:ascii="Times New Roman" w:hAnsi="Times New Roman" w:eastAsia="Times New Roman" w:cs="Times New Roman"/>
          <w:spacing w:val="-3"/>
        </w:rPr>
        <w:t>CH</w:t>
      </w:r>
      <w:r>
        <w:rPr>
          <w:rFonts w:ascii="Times New Roman" w:hAnsi="Times New Roman" w:eastAsia="Times New Roman" w:cs="Times New Roman"/>
          <w:sz w:val="18"/>
          <w:szCs w:val="18"/>
          <w:spacing w:val="-3"/>
          <w:position w:val="-2"/>
        </w:rPr>
        <w:t>4</w:t>
      </w:r>
      <w:r>
        <w:rPr>
          <w:spacing w:val="-30"/>
        </w:rPr>
        <w:t>）、氧化亚氮（</w:t>
      </w:r>
      <w:r>
        <w:rPr>
          <w:rFonts w:ascii="Times New Roman" w:hAnsi="Times New Roman" w:eastAsia="Times New Roman" w:cs="Times New Roman"/>
          <w:spacing w:val="-30"/>
        </w:rPr>
        <w:t>N</w:t>
      </w:r>
      <w:r>
        <w:rPr>
          <w:rFonts w:ascii="Times New Roman" w:hAnsi="Times New Roman" w:eastAsia="Times New Roman" w:cs="Times New Roman"/>
          <w:sz w:val="18"/>
          <w:szCs w:val="18"/>
          <w:spacing w:val="-1"/>
          <w:position w:val="-2"/>
        </w:rPr>
        <w:t>2</w:t>
      </w:r>
      <w:r>
        <w:rPr>
          <w:rFonts w:ascii="Times New Roman" w:hAnsi="Times New Roman" w:eastAsia="Times New Roman" w:cs="Times New Roman"/>
          <w:spacing w:val="-1"/>
        </w:rPr>
        <w:t>O</w:t>
      </w:r>
      <w:r>
        <w:rPr>
          <w:spacing w:val="-24"/>
        </w:rPr>
        <w:t>）、氢氟碳化物（</w:t>
      </w:r>
      <w:r>
        <w:rPr>
          <w:rFonts w:ascii="Times New Roman" w:hAnsi="Times New Roman" w:eastAsia="Times New Roman" w:cs="Times New Roman"/>
          <w:spacing w:val="-24"/>
        </w:rPr>
        <w:t>HFCs</w:t>
      </w:r>
      <w:r>
        <w:rPr>
          <w:spacing w:val="-24"/>
        </w:rPr>
        <w:t>）和全氟化碳（</w:t>
      </w:r>
      <w:r>
        <w:rPr>
          <w:rFonts w:ascii="Times New Roman" w:hAnsi="Times New Roman" w:eastAsia="Times New Roman" w:cs="Times New Roman"/>
          <w:spacing w:val="-24"/>
        </w:rPr>
        <w:t>PFCs</w:t>
      </w:r>
      <w:r>
        <w:rPr>
          <w:spacing w:val="-24"/>
        </w:rPr>
        <w:t>）、</w:t>
      </w:r>
      <w:r>
        <w:rPr>
          <w:spacing w:val="14"/>
        </w:rPr>
        <w:t xml:space="preserve"> </w:t>
      </w:r>
      <w:r>
        <w:rPr>
          <w:spacing w:val="-1"/>
        </w:rPr>
        <w:t>六氟化硫（</w:t>
      </w:r>
      <w:r>
        <w:rPr>
          <w:rFonts w:ascii="Times New Roman" w:hAnsi="Times New Roman" w:eastAsia="Times New Roman" w:cs="Times New Roman"/>
          <w:spacing w:val="-1"/>
        </w:rPr>
        <w:t>SF</w:t>
      </w:r>
      <w:r>
        <w:rPr>
          <w:rFonts w:ascii="Times New Roman" w:hAnsi="Times New Roman" w:eastAsia="Times New Roman" w:cs="Times New Roman"/>
          <w:sz w:val="18"/>
          <w:szCs w:val="18"/>
          <w:spacing w:val="-1"/>
          <w:position w:val="-2"/>
        </w:rPr>
        <w:t>6 </w:t>
      </w:r>
      <w:r>
        <w:rPr>
          <w:spacing w:val="-1"/>
        </w:rPr>
        <w:t>）、三氟化氮（</w:t>
      </w:r>
      <w:r>
        <w:rPr>
          <w:rFonts w:ascii="Times New Roman" w:hAnsi="Times New Roman" w:eastAsia="Times New Roman" w:cs="Times New Roman"/>
          <w:spacing w:val="-1"/>
        </w:rPr>
        <w:t>NF</w:t>
      </w:r>
      <w:r>
        <w:rPr>
          <w:rFonts w:ascii="Times New Roman" w:hAnsi="Times New Roman" w:eastAsia="Times New Roman" w:cs="Times New Roman"/>
          <w:sz w:val="18"/>
          <w:szCs w:val="18"/>
          <w:spacing w:val="-1"/>
          <w:position w:val="-2"/>
        </w:rPr>
        <w:t>3 </w:t>
      </w:r>
      <w:r>
        <w:rPr>
          <w:spacing w:val="-10"/>
        </w:rPr>
        <w:t>），</w:t>
      </w:r>
      <w:r>
        <w:rPr>
          <w:spacing w:val="-1"/>
        </w:rPr>
        <w:t>并且采用了</w:t>
      </w:r>
      <w:r>
        <w:rPr>
          <w:rFonts w:ascii="Times New Roman" w:hAnsi="Times New Roman" w:eastAsia="Times New Roman" w:cs="Times New Roman"/>
          <w:spacing w:val="-1"/>
        </w:rPr>
        <w:t>IPCC </w:t>
      </w:r>
      <w:r>
        <w:rPr>
          <w:spacing w:val="-1"/>
        </w:rPr>
        <w:t>第六次评估</w:t>
      </w:r>
      <w:r>
        <w:rPr/>
        <w:t xml:space="preserve"> </w:t>
      </w:r>
      <w:r>
        <w:rPr>
          <w:spacing w:val="-2"/>
        </w:rPr>
        <w:t>报告提出的方法来计算产品生产周期的</w:t>
      </w:r>
      <w:r>
        <w:rPr>
          <w:spacing w:val="-62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GWP </w:t>
      </w:r>
      <w:r>
        <w:rPr>
          <w:spacing w:val="-2"/>
        </w:rPr>
        <w:t>值。该方法基于</w:t>
      </w:r>
      <w:r>
        <w:rPr>
          <w:spacing w:val="-38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100 </w:t>
      </w:r>
      <w:r>
        <w:rPr>
          <w:spacing w:val="-2"/>
        </w:rPr>
        <w:t>年</w:t>
      </w:r>
      <w:r>
        <w:rPr/>
        <w:t xml:space="preserve"> </w:t>
      </w:r>
      <w:r>
        <w:rPr>
          <w:spacing w:val="-4"/>
        </w:rPr>
        <w:t>时间范围内其他温室气体与二氧化碳相比得到的相对辐射影响值，即</w:t>
      </w:r>
      <w:r>
        <w:rPr>
          <w:spacing w:val="16"/>
        </w:rPr>
        <w:t xml:space="preserve"> </w:t>
      </w:r>
      <w:r>
        <w:rPr>
          <w:spacing w:val="-4"/>
        </w:rPr>
        <w:t>特征化因子，此因子用来将其他温室气体的排放量转化为二氧化碳当</w:t>
      </w:r>
      <w:r>
        <w:rPr>
          <w:spacing w:val="16"/>
        </w:rPr>
        <w:t xml:space="preserve"> </w:t>
      </w:r>
      <w:r>
        <w:rPr>
          <w:spacing w:val="-36"/>
          <w:w w:val="99"/>
        </w:rPr>
        <w:t>量（</w:t>
      </w:r>
      <w:r>
        <w:rPr>
          <w:rFonts w:ascii="Times New Roman" w:hAnsi="Times New Roman" w:eastAsia="Times New Roman" w:cs="Times New Roman"/>
          <w:spacing w:val="-36"/>
          <w:w w:val="99"/>
        </w:rPr>
        <w:t>CO</w:t>
      </w:r>
      <w:r>
        <w:rPr>
          <w:rFonts w:ascii="Times New Roman" w:hAnsi="Times New Roman" w:eastAsia="Times New Roman" w:cs="Times New Roman"/>
          <w:sz w:val="18"/>
          <w:szCs w:val="18"/>
          <w:spacing w:val="2"/>
        </w:rPr>
        <w:t>2</w:t>
      </w:r>
      <w:r>
        <w:rPr>
          <w:rFonts w:ascii="Times New Roman" w:hAnsi="Times New Roman" w:eastAsia="Times New Roman" w:cs="Times New Roman"/>
          <w:spacing w:val="2"/>
        </w:rPr>
        <w:t>e</w:t>
      </w:r>
      <w:r>
        <w:rPr>
          <w:spacing w:val="-15"/>
        </w:rPr>
        <w:t>）。例如：</w:t>
      </w:r>
      <w:r>
        <w:rPr>
          <w:rFonts w:ascii="Times New Roman" w:hAnsi="Times New Roman" w:eastAsia="Times New Roman" w:cs="Times New Roman"/>
          <w:spacing w:val="-15"/>
        </w:rPr>
        <w:t>1kg</w:t>
      </w:r>
      <w:r>
        <w:rPr>
          <w:rFonts w:ascii="Times New Roman" w:hAnsi="Times New Roman" w:eastAsia="Times New Roman" w:cs="Times New Roman"/>
          <w:spacing w:val="32"/>
          <w:w w:val="101"/>
        </w:rPr>
        <w:t xml:space="preserve"> </w:t>
      </w:r>
      <w:r>
        <w:rPr>
          <w:spacing w:val="-15"/>
        </w:rPr>
        <w:t>甲烷在</w:t>
      </w:r>
      <w:r>
        <w:rPr>
          <w:spacing w:val="-55"/>
        </w:rPr>
        <w:t xml:space="preserve"> </w:t>
      </w:r>
      <w:r>
        <w:rPr>
          <w:rFonts w:ascii="Times New Roman" w:hAnsi="Times New Roman" w:eastAsia="Times New Roman" w:cs="Times New Roman"/>
          <w:spacing w:val="-15"/>
        </w:rPr>
        <w:t>100 </w:t>
      </w:r>
      <w:r>
        <w:rPr>
          <w:spacing w:val="-15"/>
        </w:rPr>
        <w:t>年内对全</w:t>
      </w:r>
      <w:r>
        <w:rPr>
          <w:spacing w:val="-16"/>
        </w:rPr>
        <w:t>球变暖的影响相当于</w:t>
      </w:r>
      <w:r>
        <w:rPr>
          <w:spacing w:val="-81"/>
        </w:rPr>
        <w:t xml:space="preserve"> </w:t>
      </w:r>
      <w:r>
        <w:rPr>
          <w:rFonts w:ascii="Times New Roman" w:hAnsi="Times New Roman" w:eastAsia="Times New Roman" w:cs="Times New Roman"/>
          <w:spacing w:val="-16"/>
        </w:rPr>
        <w:t>27.9kg</w:t>
      </w:r>
      <w:r>
        <w:rPr>
          <w:rFonts w:ascii="Times New Roman" w:hAnsi="Times New Roman" w:eastAsia="Times New Roman" w:cs="Times New Roman"/>
        </w:rPr>
        <w:t xml:space="preserve">  </w:t>
      </w:r>
      <w:r>
        <w:rPr>
          <w:spacing w:val="-5"/>
        </w:rPr>
        <w:t>二氧化碳排放对全球变暖的影响，因此以二氧化碳当量（</w:t>
      </w:r>
      <w:r>
        <w:rPr>
          <w:rFonts w:ascii="Times New Roman" w:hAnsi="Times New Roman" w:eastAsia="Times New Roman" w:cs="Times New Roman"/>
          <w:spacing w:val="-5"/>
        </w:rPr>
        <w:t>CO</w:t>
      </w: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2</w:t>
      </w:r>
      <w:r>
        <w:rPr>
          <w:rFonts w:ascii="Times New Roman" w:hAnsi="Times New Roman" w:eastAsia="Times New Roman" w:cs="Times New Roman"/>
          <w:spacing w:val="-5"/>
        </w:rPr>
        <w:t>e</w:t>
      </w:r>
      <w:r>
        <w:rPr>
          <w:spacing w:val="-5"/>
        </w:rPr>
        <w:t>）为基</w:t>
      </w:r>
      <w:r>
        <w:rPr>
          <w:spacing w:val="13"/>
        </w:rPr>
        <w:t xml:space="preserve"> </w:t>
      </w:r>
      <w:r>
        <w:rPr>
          <w:spacing w:val="-1"/>
        </w:rPr>
        <w:t>础，甲烷的特征化因子就是</w:t>
      </w:r>
      <w:r>
        <w:rPr>
          <w:spacing w:val="-56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27.9kgCO</w:t>
      </w:r>
      <w:r>
        <w:rPr>
          <w:rFonts w:ascii="Times New Roman" w:hAnsi="Times New Roman" w:eastAsia="Times New Roman" w:cs="Times New Roman"/>
          <w:sz w:val="18"/>
          <w:szCs w:val="18"/>
          <w:spacing w:val="-1"/>
        </w:rPr>
        <w:t>2</w:t>
      </w:r>
      <w:r>
        <w:rPr>
          <w:rFonts w:ascii="Times New Roman" w:hAnsi="Times New Roman" w:eastAsia="Times New Roman" w:cs="Times New Roman"/>
          <w:spacing w:val="-1"/>
        </w:rPr>
        <w:t>e</w:t>
      </w:r>
      <w:r>
        <w:rPr>
          <w:spacing w:val="-1"/>
        </w:rPr>
        <w:t>。</w:t>
      </w:r>
    </w:p>
    <w:p>
      <w:pPr>
        <w:pStyle w:val="BodyText"/>
        <w:ind w:left="577"/>
        <w:spacing w:before="48" w:line="221" w:lineRule="auto"/>
        <w:outlineLvl w:val="1"/>
        <w:rPr/>
      </w:pPr>
      <w:r>
        <w:rPr>
          <w:rFonts w:ascii="Times New Roman" w:hAnsi="Times New Roman" w:eastAsia="Times New Roman" w:cs="Times New Roman"/>
          <w:spacing w:val="-4"/>
        </w:rPr>
        <w:t>4.4</w:t>
      </w:r>
      <w:r>
        <w:rPr>
          <w:rFonts w:ascii="Times New Roman" w:hAnsi="Times New Roman" w:eastAsia="Times New Roman" w:cs="Times New Roman"/>
          <w:spacing w:val="23"/>
        </w:rPr>
        <w:t xml:space="preserve"> </w:t>
      </w:r>
      <w:r>
        <w:rPr>
          <w:spacing w:val="-4"/>
        </w:rPr>
        <w:t>时间边界</w:t>
      </w:r>
    </w:p>
    <w:p>
      <w:pPr>
        <w:pStyle w:val="BodyText"/>
        <w:ind w:left="31" w:right="218" w:firstLine="553"/>
        <w:spacing w:before="208" w:line="346" w:lineRule="auto"/>
        <w:rPr/>
      </w:pPr>
      <w:r>
        <w:rPr>
          <w:spacing w:val="-5"/>
        </w:rPr>
        <w:t>本次产品碳足迹评价时间边界为</w:t>
      </w:r>
      <w:r>
        <w:rPr>
          <w:spacing w:val="-52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2023</w:t>
      </w:r>
      <w:r>
        <w:rPr>
          <w:rFonts w:ascii="Times New Roman" w:hAnsi="Times New Roman" w:eastAsia="Times New Roman" w:cs="Times New Roman"/>
          <w:spacing w:val="17"/>
          <w:w w:val="101"/>
        </w:rPr>
        <w:t xml:space="preserve"> </w:t>
      </w:r>
      <w:r>
        <w:rPr>
          <w:spacing w:val="-5"/>
        </w:rPr>
        <w:t>年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</w:t>
      </w:r>
      <w:r>
        <w:rPr>
          <w:rFonts w:ascii="Times New Roman" w:hAnsi="Times New Roman" w:eastAsia="Times New Roman" w:cs="Times New Roman"/>
          <w:spacing w:val="24"/>
        </w:rPr>
        <w:t xml:space="preserve"> </w:t>
      </w:r>
      <w:r>
        <w:rPr>
          <w:spacing w:val="-5"/>
        </w:rPr>
        <w:t>月</w:t>
      </w:r>
      <w:r>
        <w:rPr>
          <w:spacing w:val="-33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</w:t>
      </w:r>
      <w:r>
        <w:rPr>
          <w:rFonts w:ascii="Times New Roman" w:hAnsi="Times New Roman" w:eastAsia="Times New Roman" w:cs="Times New Roman"/>
          <w:spacing w:val="64"/>
          <w:w w:val="101"/>
        </w:rPr>
        <w:t xml:space="preserve"> </w:t>
      </w:r>
      <w:r>
        <w:rPr>
          <w:spacing w:val="-5"/>
        </w:rPr>
        <w:t>日至</w:t>
      </w:r>
      <w:r>
        <w:rPr>
          <w:spacing w:val="-63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2023</w:t>
      </w:r>
      <w:r>
        <w:rPr>
          <w:rFonts w:ascii="Times New Roman" w:hAnsi="Times New Roman" w:eastAsia="Times New Roman" w:cs="Times New Roman"/>
          <w:spacing w:val="18"/>
        </w:rPr>
        <w:t xml:space="preserve"> </w:t>
      </w:r>
      <w:r>
        <w:rPr>
          <w:spacing w:val="-5"/>
        </w:rPr>
        <w:t>年</w:t>
      </w:r>
      <w:r>
        <w:rPr>
          <w:spacing w:val="-33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12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17"/>
        </w:rPr>
        <w:t>月</w:t>
      </w:r>
      <w:r>
        <w:rPr>
          <w:spacing w:val="-60"/>
        </w:rPr>
        <w:t xml:space="preserve"> </w:t>
      </w:r>
      <w:r>
        <w:rPr>
          <w:rFonts w:ascii="Times New Roman" w:hAnsi="Times New Roman" w:eastAsia="Times New Roman" w:cs="Times New Roman"/>
          <w:spacing w:val="-17"/>
        </w:rPr>
        <w:t>31</w:t>
      </w:r>
      <w:r>
        <w:rPr>
          <w:rFonts w:ascii="Times New Roman" w:hAnsi="Times New Roman" w:eastAsia="Times New Roman" w:cs="Times New Roman"/>
          <w:spacing w:val="58"/>
        </w:rPr>
        <w:t xml:space="preserve"> </w:t>
      </w:r>
      <w:r>
        <w:rPr>
          <w:spacing w:val="-17"/>
        </w:rPr>
        <w:t>日。</w:t>
      </w:r>
    </w:p>
    <w:p>
      <w:pPr>
        <w:ind w:left="35"/>
        <w:spacing w:before="46" w:line="227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</w:rPr>
        <w:t>五、评价过程</w:t>
      </w:r>
    </w:p>
    <w:p>
      <w:pPr>
        <w:pStyle w:val="BodyText"/>
        <w:ind w:left="586"/>
        <w:spacing w:before="235" w:line="220" w:lineRule="auto"/>
        <w:outlineLvl w:val="1"/>
        <w:rPr/>
      </w:pPr>
      <w:r>
        <w:rPr>
          <w:rFonts w:ascii="Times New Roman" w:hAnsi="Times New Roman" w:eastAsia="Times New Roman" w:cs="Times New Roman"/>
          <w:spacing w:val="-2"/>
        </w:rPr>
        <w:t>5.1 </w:t>
      </w:r>
      <w:r>
        <w:rPr>
          <w:spacing w:val="-2"/>
        </w:rPr>
        <w:t>数据收集</w:t>
      </w:r>
    </w:p>
    <w:p>
      <w:pPr>
        <w:pStyle w:val="BodyText"/>
        <w:ind w:left="28" w:right="217" w:firstLine="555"/>
        <w:spacing w:before="209" w:line="351" w:lineRule="auto"/>
        <w:rPr/>
      </w:pPr>
      <w:r>
        <w:rPr>
          <w:spacing w:val="1"/>
        </w:rPr>
        <w:t>清单分析用以量化和评价产品在生命周期范围内各阶段能源 、</w:t>
      </w:r>
      <w:r>
        <w:rPr>
          <w:spacing w:val="7"/>
        </w:rPr>
        <w:t xml:space="preserve"> </w:t>
      </w:r>
      <w:r>
        <w:rPr>
          <w:spacing w:val="-4"/>
        </w:rPr>
        <w:t>资源消耗，以及各种环境污染排放过程。根据选取的生命周期范围分</w:t>
      </w:r>
      <w:r>
        <w:rPr>
          <w:spacing w:val="11"/>
        </w:rPr>
        <w:t xml:space="preserve"> </w:t>
      </w:r>
      <w:r>
        <w:rPr>
          <w:spacing w:val="-2"/>
        </w:rPr>
        <w:t>别进行清单分析。</w:t>
      </w:r>
    </w:p>
    <w:p>
      <w:pPr>
        <w:pStyle w:val="BodyText"/>
        <w:ind w:left="584"/>
        <w:spacing w:before="37" w:line="213" w:lineRule="auto"/>
        <w:rPr/>
      </w:pPr>
      <w:r>
        <w:rPr>
          <w:rFonts w:ascii="Times New Roman" w:hAnsi="Times New Roman" w:eastAsia="Times New Roman" w:cs="Times New Roman"/>
          <w:spacing w:val="-2"/>
        </w:rPr>
        <w:t>(1)</w:t>
      </w:r>
      <w:r>
        <w:rPr>
          <w:spacing w:val="-2"/>
        </w:rPr>
        <w:t>原材料获取阶段</w:t>
      </w:r>
    </w:p>
    <w:p>
      <w:pPr>
        <w:pStyle w:val="BodyText"/>
        <w:ind w:left="25" w:right="217" w:firstLine="563"/>
        <w:spacing w:before="226" w:line="345" w:lineRule="auto"/>
        <w:rPr/>
      </w:pPr>
      <w:r>
        <w:rPr>
          <w:spacing w:val="-4"/>
        </w:rPr>
        <w:t>该阶段主要为上游供应商提供的各种原材料产生的排放，包括各</w:t>
      </w:r>
      <w:r>
        <w:rPr>
          <w:spacing w:val="2"/>
        </w:rPr>
        <w:t xml:space="preserve"> </w:t>
      </w:r>
      <w:r>
        <w:rPr>
          <w:spacing w:val="-1"/>
        </w:rPr>
        <w:t>种原材料、能源在制取过程中产生的排放、上游供应商运输。</w:t>
      </w:r>
    </w:p>
    <w:p>
      <w:pPr>
        <w:spacing w:line="345" w:lineRule="auto"/>
        <w:sectPr>
          <w:footerReference w:type="default" r:id="rId10"/>
          <w:pgSz w:w="11906" w:h="16839"/>
          <w:pgMar w:top="400" w:right="1581" w:bottom="1157" w:left="1785" w:header="0" w:footer="992" w:gutter="0"/>
        </w:sectPr>
        <w:rPr/>
      </w:pP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3080"/>
        <w:spacing w:before="91" w:line="223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2"/>
        </w:rPr>
        <w:t>表</w:t>
      </w:r>
      <w:r>
        <w:rPr>
          <w:rFonts w:ascii="SimHei" w:hAnsi="SimHei" w:eastAsia="SimHei" w:cs="SimHei"/>
          <w:sz w:val="28"/>
          <w:szCs w:val="28"/>
          <w:spacing w:val="-5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pacing w:val="-2"/>
        </w:rPr>
        <w:t>5-1    </w:t>
      </w:r>
      <w:r>
        <w:rPr>
          <w:rFonts w:ascii="SimHei" w:hAnsi="SimHei" w:eastAsia="SimHei" w:cs="SimHei"/>
          <w:sz w:val="28"/>
          <w:szCs w:val="28"/>
          <w:spacing w:val="-2"/>
        </w:rPr>
        <w:t>主要原材料清单</w:t>
      </w:r>
    </w:p>
    <w:p>
      <w:pPr>
        <w:spacing w:line="166" w:lineRule="exact"/>
        <w:rPr/>
      </w:pPr>
      <w:r/>
    </w:p>
    <w:tbl>
      <w:tblPr>
        <w:tblStyle w:val="TableNormal"/>
        <w:tblW w:w="852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163"/>
        <w:gridCol w:w="1018"/>
        <w:gridCol w:w="1397"/>
        <w:gridCol w:w="1780"/>
        <w:gridCol w:w="2165"/>
      </w:tblGrid>
      <w:tr>
        <w:trPr>
          <w:trHeight w:val="476" w:hRule="atLeast"/>
        </w:trPr>
        <w:tc>
          <w:tcPr>
            <w:tcW w:w="2163" w:type="dxa"/>
            <w:vAlign w:val="top"/>
          </w:tcPr>
          <w:p>
            <w:pPr>
              <w:pStyle w:val="TableText"/>
              <w:ind w:left="494"/>
              <w:spacing w:before="117" w:line="219" w:lineRule="auto"/>
              <w:rPr/>
            </w:pPr>
            <w:r>
              <w:rPr>
                <w:spacing w:val="-4"/>
              </w:rPr>
              <w:t>原材料类型</w:t>
            </w:r>
          </w:p>
        </w:tc>
        <w:tc>
          <w:tcPr>
            <w:tcW w:w="1018" w:type="dxa"/>
            <w:vAlign w:val="top"/>
          </w:tcPr>
          <w:p>
            <w:pPr>
              <w:pStyle w:val="TableText"/>
              <w:ind w:left="276"/>
              <w:spacing w:before="118" w:line="219" w:lineRule="auto"/>
              <w:rPr/>
            </w:pPr>
            <w:r>
              <w:rPr>
                <w:spacing w:val="-6"/>
              </w:rPr>
              <w:t>数量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ind w:left="466"/>
              <w:spacing w:before="118" w:line="220" w:lineRule="auto"/>
              <w:rPr/>
            </w:pPr>
            <w:r>
              <w:rPr>
                <w:spacing w:val="-6"/>
              </w:rPr>
              <w:t>单位</w:t>
            </w:r>
          </w:p>
        </w:tc>
        <w:tc>
          <w:tcPr>
            <w:tcW w:w="1780" w:type="dxa"/>
            <w:vAlign w:val="top"/>
          </w:tcPr>
          <w:p>
            <w:pPr>
              <w:pStyle w:val="TableText"/>
              <w:ind w:left="296"/>
              <w:spacing w:before="118" w:line="212" w:lineRule="auto"/>
              <w:rPr/>
            </w:pPr>
            <w:r>
              <w:rPr>
                <w:spacing w:val="-2"/>
              </w:rPr>
              <w:t>重量（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kg</w:t>
            </w:r>
            <w:r>
              <w:rPr>
                <w:spacing w:val="-2"/>
              </w:rPr>
              <w:t>）</w:t>
            </w:r>
          </w:p>
        </w:tc>
        <w:tc>
          <w:tcPr>
            <w:tcW w:w="2165" w:type="dxa"/>
            <w:vAlign w:val="top"/>
          </w:tcPr>
          <w:p>
            <w:pPr>
              <w:pStyle w:val="TableText"/>
              <w:ind w:left="610"/>
              <w:spacing w:before="118" w:line="219" w:lineRule="auto"/>
              <w:rPr/>
            </w:pPr>
            <w:r>
              <w:rPr>
                <w:spacing w:val="-3"/>
              </w:rPr>
              <w:t>数据来源</w:t>
            </w:r>
          </w:p>
        </w:tc>
      </w:tr>
      <w:tr>
        <w:trPr>
          <w:trHeight w:val="472" w:hRule="atLeast"/>
        </w:trPr>
        <w:tc>
          <w:tcPr>
            <w:tcW w:w="2163" w:type="dxa"/>
            <w:vAlign w:val="top"/>
          </w:tcPr>
          <w:p>
            <w:pPr>
              <w:pStyle w:val="TableText"/>
              <w:ind w:left="757"/>
              <w:spacing w:before="114" w:line="219" w:lineRule="auto"/>
              <w:rPr/>
            </w:pPr>
            <w:r>
              <w:rPr>
                <w:spacing w:val="-13"/>
              </w:rPr>
              <w:t>电视机</w:t>
            </w:r>
          </w:p>
        </w:tc>
        <w:tc>
          <w:tcPr>
            <w:tcW w:w="1018" w:type="dxa"/>
            <w:vAlign w:val="top"/>
          </w:tcPr>
          <w:p>
            <w:pPr>
              <w:ind w:left="303"/>
              <w:spacing w:before="156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0.02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ind w:left="602"/>
              <w:spacing w:before="115" w:line="221" w:lineRule="auto"/>
              <w:rPr/>
            </w:pPr>
            <w:r>
              <w:rPr/>
              <w:t>台</w:t>
            </w:r>
          </w:p>
        </w:tc>
        <w:tc>
          <w:tcPr>
            <w:tcW w:w="1780" w:type="dxa"/>
            <w:vAlign w:val="top"/>
          </w:tcPr>
          <w:p>
            <w:pPr>
              <w:ind w:left="686"/>
              <w:spacing w:before="156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0.32</w:t>
            </w:r>
          </w:p>
        </w:tc>
        <w:tc>
          <w:tcPr>
            <w:tcW w:w="2165" w:type="dxa"/>
            <w:vAlign w:val="top"/>
          </w:tcPr>
          <w:p>
            <w:pPr>
              <w:pStyle w:val="TableText"/>
              <w:ind w:left="488"/>
              <w:spacing w:before="114" w:line="219" w:lineRule="auto"/>
              <w:rPr/>
            </w:pPr>
            <w:r>
              <w:rPr>
                <w:spacing w:val="-2"/>
              </w:rPr>
              <w:t>供应商调查</w:t>
            </w:r>
          </w:p>
        </w:tc>
      </w:tr>
      <w:tr>
        <w:trPr>
          <w:trHeight w:val="472" w:hRule="atLeast"/>
        </w:trPr>
        <w:tc>
          <w:tcPr>
            <w:tcW w:w="2163" w:type="dxa"/>
            <w:vAlign w:val="top"/>
          </w:tcPr>
          <w:p>
            <w:pPr>
              <w:pStyle w:val="TableText"/>
              <w:ind w:left="728"/>
              <w:spacing w:before="115" w:line="219" w:lineRule="auto"/>
              <w:rPr/>
            </w:pPr>
            <w:r>
              <w:rPr>
                <w:spacing w:val="-3"/>
              </w:rPr>
              <w:t>洗衣机</w:t>
            </w:r>
          </w:p>
        </w:tc>
        <w:tc>
          <w:tcPr>
            <w:tcW w:w="1018" w:type="dxa"/>
            <w:vAlign w:val="top"/>
          </w:tcPr>
          <w:p>
            <w:pPr>
              <w:ind w:left="243"/>
              <w:spacing w:before="15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0.027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ind w:left="602"/>
              <w:spacing w:before="116" w:line="221" w:lineRule="auto"/>
              <w:rPr/>
            </w:pPr>
            <w:r>
              <w:rPr/>
              <w:t>台</w:t>
            </w:r>
          </w:p>
        </w:tc>
        <w:tc>
          <w:tcPr>
            <w:tcW w:w="1780" w:type="dxa"/>
            <w:vAlign w:val="top"/>
          </w:tcPr>
          <w:p>
            <w:pPr>
              <w:ind w:left="705"/>
              <w:spacing w:before="15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1.08</w:t>
            </w:r>
          </w:p>
        </w:tc>
        <w:tc>
          <w:tcPr>
            <w:tcW w:w="2165" w:type="dxa"/>
            <w:vAlign w:val="top"/>
          </w:tcPr>
          <w:p>
            <w:pPr>
              <w:pStyle w:val="TableText"/>
              <w:ind w:left="488"/>
              <w:spacing w:before="115" w:line="219" w:lineRule="auto"/>
              <w:rPr/>
            </w:pPr>
            <w:r>
              <w:rPr>
                <w:spacing w:val="-2"/>
              </w:rPr>
              <w:t>供应商调查</w:t>
            </w:r>
          </w:p>
        </w:tc>
      </w:tr>
      <w:tr>
        <w:trPr>
          <w:trHeight w:val="476" w:hRule="atLeast"/>
        </w:trPr>
        <w:tc>
          <w:tcPr>
            <w:tcW w:w="2163" w:type="dxa"/>
            <w:vAlign w:val="top"/>
          </w:tcPr>
          <w:p>
            <w:pPr>
              <w:pStyle w:val="TableText"/>
              <w:ind w:left="849"/>
              <w:spacing w:before="118" w:line="220" w:lineRule="auto"/>
              <w:rPr/>
            </w:pPr>
            <w:r>
              <w:rPr>
                <w:spacing w:val="-5"/>
              </w:rPr>
              <w:t>冰箱</w:t>
            </w:r>
          </w:p>
        </w:tc>
        <w:tc>
          <w:tcPr>
            <w:tcW w:w="1018" w:type="dxa"/>
            <w:vAlign w:val="top"/>
          </w:tcPr>
          <w:p>
            <w:pPr>
              <w:ind w:left="243"/>
              <w:spacing w:before="15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0.012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ind w:left="602"/>
              <w:spacing w:before="119" w:line="221" w:lineRule="auto"/>
              <w:rPr/>
            </w:pPr>
            <w:r>
              <w:rPr/>
              <w:t>台</w:t>
            </w:r>
          </w:p>
        </w:tc>
        <w:tc>
          <w:tcPr>
            <w:tcW w:w="1780" w:type="dxa"/>
            <w:vAlign w:val="top"/>
          </w:tcPr>
          <w:p>
            <w:pPr>
              <w:ind w:left="686"/>
              <w:spacing w:before="15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0.48</w:t>
            </w:r>
          </w:p>
        </w:tc>
        <w:tc>
          <w:tcPr>
            <w:tcW w:w="2165" w:type="dxa"/>
            <w:vAlign w:val="top"/>
          </w:tcPr>
          <w:p>
            <w:pPr>
              <w:pStyle w:val="TableText"/>
              <w:ind w:left="488"/>
              <w:spacing w:before="118" w:line="219" w:lineRule="auto"/>
              <w:rPr/>
            </w:pPr>
            <w:r>
              <w:rPr>
                <w:spacing w:val="-2"/>
              </w:rPr>
              <w:t>供应商调查</w:t>
            </w:r>
          </w:p>
        </w:tc>
      </w:tr>
    </w:tbl>
    <w:p>
      <w:pPr>
        <w:spacing w:line="403" w:lineRule="auto"/>
        <w:rPr>
          <w:rFonts w:ascii="Arial"/>
          <w:sz w:val="21"/>
        </w:rPr>
      </w:pPr>
      <w:r/>
    </w:p>
    <w:p>
      <w:pPr>
        <w:pStyle w:val="BodyText"/>
        <w:ind w:left="689"/>
        <w:spacing w:before="91" w:line="219" w:lineRule="auto"/>
        <w:rPr/>
      </w:pPr>
      <w:r>
        <w:rPr>
          <w:spacing w:val="-2"/>
        </w:rPr>
        <w:t>原材料至公司产生的排放。</w:t>
      </w:r>
    </w:p>
    <w:p>
      <w:pPr>
        <w:pStyle w:val="BodyText"/>
        <w:ind w:left="683"/>
        <w:spacing w:before="211" w:line="213" w:lineRule="auto"/>
        <w:rPr/>
      </w:pPr>
      <w:r>
        <w:rPr>
          <w:rFonts w:ascii="Times New Roman" w:hAnsi="Times New Roman" w:eastAsia="Times New Roman" w:cs="Times New Roman"/>
          <w:spacing w:val="-2"/>
        </w:rPr>
        <w:t>(2)</w:t>
      </w:r>
      <w:r>
        <w:rPr>
          <w:spacing w:val="-2"/>
        </w:rPr>
        <w:t>产品生产阶段</w:t>
      </w:r>
    </w:p>
    <w:p>
      <w:pPr>
        <w:pStyle w:val="BodyText"/>
        <w:ind w:left="123" w:right="109" w:firstLine="563"/>
        <w:spacing w:before="220" w:line="351" w:lineRule="auto"/>
        <w:rPr/>
      </w:pPr>
      <w:r>
        <w:rPr>
          <w:spacing w:val="-5"/>
        </w:rPr>
        <w:t>该阶段主要为生产</w:t>
      </w:r>
      <w:r>
        <w:rPr>
          <w:spacing w:val="-30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1kg </w:t>
      </w:r>
      <w:r>
        <w:rPr>
          <w:spacing w:val="-5"/>
        </w:rPr>
        <w:t>塑料类回收物产品产生的排放，生产阶段</w:t>
      </w:r>
      <w:r>
        <w:rPr/>
        <w:t xml:space="preserve"> </w:t>
      </w:r>
      <w:r>
        <w:rPr>
          <w:spacing w:val="-4"/>
        </w:rPr>
        <w:t>产生的碳排放主要包括能源使用、生产过程排放和废弃物处理产生的</w:t>
      </w:r>
      <w:r>
        <w:rPr>
          <w:spacing w:val="14"/>
        </w:rPr>
        <w:t xml:space="preserve"> </w:t>
      </w:r>
      <w:r>
        <w:rPr>
          <w:spacing w:val="-4"/>
        </w:rPr>
        <w:t>排放，企业通过所获取的原材料，按照特定工艺流程进行生产，涉及</w:t>
      </w:r>
      <w:r>
        <w:rPr>
          <w:spacing w:val="14"/>
        </w:rPr>
        <w:t xml:space="preserve"> </w:t>
      </w:r>
      <w:r>
        <w:rPr>
          <w:spacing w:val="-1"/>
        </w:rPr>
        <w:t>能耗品种为电力、汽油、柴油。</w:t>
      </w:r>
    </w:p>
    <w:p>
      <w:pPr>
        <w:pStyle w:val="BodyText"/>
        <w:ind w:left="683"/>
        <w:spacing w:before="52" w:line="211" w:lineRule="auto"/>
        <w:rPr/>
      </w:pPr>
      <w:r>
        <w:rPr>
          <w:rFonts w:ascii="Times New Roman" w:hAnsi="Times New Roman" w:eastAsia="Times New Roman" w:cs="Times New Roman"/>
          <w:spacing w:val="-2"/>
        </w:rPr>
        <w:t>(3)</w:t>
      </w:r>
      <w:r>
        <w:rPr>
          <w:spacing w:val="-2"/>
        </w:rPr>
        <w:t>产品分销阶段</w:t>
      </w:r>
    </w:p>
    <w:p>
      <w:pPr>
        <w:pStyle w:val="BodyText"/>
        <w:ind w:left="123" w:right="109" w:firstLine="563"/>
        <w:spacing w:before="223" w:line="336" w:lineRule="auto"/>
        <w:rPr/>
      </w:pPr>
      <w:r>
        <w:rPr>
          <w:spacing w:val="-1"/>
        </w:rPr>
        <w:t>该阶段主要为产品运输至下游客户产生的排放</w:t>
      </w:r>
      <w:r>
        <w:rPr>
          <w:spacing w:val="-2"/>
        </w:rPr>
        <w:t>，</w:t>
      </w:r>
      <w:r>
        <w:rPr>
          <w:rFonts w:ascii="Times New Roman" w:hAnsi="Times New Roman" w:eastAsia="Times New Roman" w:cs="Times New Roman"/>
          <w:spacing w:val="-2"/>
        </w:rPr>
        <w:t>1kg </w:t>
      </w:r>
      <w:r>
        <w:rPr>
          <w:spacing w:val="-2"/>
        </w:rPr>
        <w:t>塑料类回收</w:t>
      </w:r>
      <w:r>
        <w:rPr/>
        <w:t xml:space="preserve"> </w:t>
      </w:r>
      <w:r>
        <w:rPr>
          <w:spacing w:val="-1"/>
        </w:rPr>
        <w:t>物产品运输至下游客户消耗的能源产生的排放。</w:t>
      </w:r>
    </w:p>
    <w:p>
      <w:pPr>
        <w:pStyle w:val="BodyText"/>
        <w:ind w:left="683"/>
        <w:spacing w:before="69" w:line="213" w:lineRule="auto"/>
        <w:rPr/>
      </w:pPr>
      <w:r>
        <w:rPr>
          <w:rFonts w:ascii="Times New Roman" w:hAnsi="Times New Roman" w:eastAsia="Times New Roman" w:cs="Times New Roman"/>
          <w:spacing w:val="-1"/>
        </w:rPr>
        <w:t>(4)</w:t>
      </w:r>
      <w:r>
        <w:rPr>
          <w:spacing w:val="-1"/>
        </w:rPr>
        <w:t>产品废弃物回收阶段</w:t>
      </w:r>
    </w:p>
    <w:p>
      <w:pPr>
        <w:pStyle w:val="BodyText"/>
        <w:ind w:left="687"/>
        <w:spacing w:before="224" w:line="221" w:lineRule="auto"/>
        <w:rPr/>
      </w:pPr>
      <w:r>
        <w:rPr>
          <w:spacing w:val="-1"/>
        </w:rPr>
        <w:t>该阶段主要为为玻璃瓶的清洗再利用过程。</w:t>
      </w:r>
    </w:p>
    <w:p>
      <w:pPr>
        <w:pStyle w:val="BodyText"/>
        <w:ind w:left="677" w:right="884" w:firstLine="9"/>
        <w:spacing w:before="211" w:line="345" w:lineRule="auto"/>
        <w:rPr>
          <w:rFonts w:ascii="Times New Roman" w:hAnsi="Times New Roman" w:eastAsia="Times New Roman" w:cs="Times New Roman"/>
        </w:rPr>
      </w:pPr>
      <w:r>
        <w:rPr>
          <w:spacing w:val="-2"/>
        </w:rPr>
        <w:t>综上，在碳足迹核算过程中，需要收集的数据主要包括：</w:t>
      </w:r>
      <w:r>
        <w:rPr>
          <w:spacing w:val="6"/>
        </w:rPr>
        <w:t xml:space="preserve"> </w:t>
      </w:r>
      <w:r>
        <w:rPr>
          <w:rFonts w:ascii="Times New Roman" w:hAnsi="Times New Roman" w:eastAsia="Times New Roman" w:cs="Times New Roman"/>
        </w:rPr>
        <w:t>&gt;</w:t>
      </w:r>
      <w:r>
        <w:rPr/>
        <w:t>各类原材料的使用量、运输量、运输距离、运</w:t>
      </w:r>
      <w:r>
        <w:rPr>
          <w:spacing w:val="-1"/>
        </w:rPr>
        <w:t>输方式</w:t>
      </w:r>
      <w:r>
        <w:rPr>
          <w:rFonts w:ascii="Times New Roman" w:hAnsi="Times New Roman" w:eastAsia="Times New Roman" w:cs="Times New Roman"/>
          <w:spacing w:val="-1"/>
        </w:rPr>
        <w:t>(</w:t>
      </w:r>
      <w:r>
        <w:rPr>
          <w:spacing w:val="-1"/>
        </w:rPr>
        <w:t>无</w:t>
      </w:r>
      <w:r>
        <w:rPr/>
        <w:t xml:space="preserve"> </w:t>
      </w:r>
      <w:r>
        <w:rPr>
          <w:spacing w:val="-1"/>
        </w:rPr>
        <w:t>法获取运输能源消耗时</w:t>
      </w:r>
      <w:r>
        <w:rPr>
          <w:rFonts w:ascii="Times New Roman" w:hAnsi="Times New Roman" w:eastAsia="Times New Roman" w:cs="Times New Roman"/>
          <w:spacing w:val="-1"/>
        </w:rPr>
        <w:t>)</w:t>
      </w:r>
    </w:p>
    <w:p>
      <w:pPr>
        <w:pStyle w:val="BodyText"/>
        <w:ind w:left="707" w:right="697" w:hanging="30"/>
        <w:spacing w:before="61" w:line="346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&gt;</w:t>
      </w:r>
      <w:r>
        <w:rPr/>
        <w:t>生产过程中各类能源消耗量、产品产量、含碳</w:t>
      </w:r>
      <w:r>
        <w:rPr>
          <w:spacing w:val="-1"/>
        </w:rPr>
        <w:t>物料输入输</w:t>
      </w:r>
      <w:r>
        <w:rPr/>
        <w:t xml:space="preserve"> </w:t>
      </w:r>
      <w:r>
        <w:rPr>
          <w:spacing w:val="-6"/>
        </w:rPr>
        <w:t>出量</w:t>
      </w:r>
      <w:r>
        <w:rPr>
          <w:rFonts w:ascii="Times New Roman" w:hAnsi="Times New Roman" w:eastAsia="Times New Roman" w:cs="Times New Roman"/>
          <w:spacing w:val="-6"/>
        </w:rPr>
        <w:t>(</w:t>
      </w:r>
      <w:r>
        <w:rPr>
          <w:spacing w:val="-6"/>
        </w:rPr>
        <w:t>如涉及</w:t>
      </w:r>
      <w:r>
        <w:rPr>
          <w:rFonts w:ascii="Times New Roman" w:hAnsi="Times New Roman" w:eastAsia="Times New Roman" w:cs="Times New Roman"/>
          <w:spacing w:val="-6"/>
        </w:rPr>
        <w:t>)</w:t>
      </w:r>
    </w:p>
    <w:p>
      <w:pPr>
        <w:pStyle w:val="BodyText"/>
        <w:ind w:left="681" w:right="884" w:hanging="4"/>
        <w:spacing w:before="41" w:line="333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&gt;</w:t>
      </w:r>
      <w:r>
        <w:rPr/>
        <w:t>产品销售运输量、运输距离、运输方式</w:t>
      </w:r>
      <w:r>
        <w:rPr>
          <w:rFonts w:ascii="Times New Roman" w:hAnsi="Times New Roman" w:eastAsia="Times New Roman" w:cs="Times New Roman"/>
        </w:rPr>
        <w:t>(</w:t>
      </w:r>
      <w:r>
        <w:rPr/>
        <w:t>无</w:t>
      </w:r>
      <w:r>
        <w:rPr>
          <w:spacing w:val="-1"/>
        </w:rPr>
        <w:t>法获取运输能</w:t>
      </w:r>
      <w:r>
        <w:rPr/>
        <w:t xml:space="preserve"> </w:t>
      </w:r>
      <w:r>
        <w:rPr>
          <w:spacing w:val="-2"/>
        </w:rPr>
        <w:t>源消耗时</w:t>
      </w:r>
      <w:r>
        <w:rPr>
          <w:rFonts w:ascii="Times New Roman" w:hAnsi="Times New Roman" w:eastAsia="Times New Roman" w:cs="Times New Roman"/>
          <w:spacing w:val="-2"/>
        </w:rPr>
        <w:t>)</w:t>
      </w:r>
    </w:p>
    <w:p>
      <w:pPr>
        <w:pStyle w:val="BodyText"/>
        <w:ind w:left="677"/>
        <w:spacing w:before="79" w:line="220" w:lineRule="auto"/>
        <w:rPr/>
      </w:pPr>
      <w:r>
        <w:rPr>
          <w:rFonts w:ascii="Times New Roman" w:hAnsi="Times New Roman" w:eastAsia="Times New Roman" w:cs="Times New Roman"/>
          <w:spacing w:val="-1"/>
        </w:rPr>
        <w:t>&gt;</w:t>
      </w:r>
      <w:r>
        <w:rPr>
          <w:spacing w:val="-1"/>
        </w:rPr>
        <w:t>各阶段各类活动水平数据的碳排放因子</w:t>
      </w:r>
    </w:p>
    <w:p>
      <w:pPr>
        <w:spacing w:line="220" w:lineRule="auto"/>
        <w:sectPr>
          <w:footerReference w:type="default" r:id="rId11"/>
          <w:pgSz w:w="11906" w:h="16839"/>
          <w:pgMar w:top="400" w:right="1690" w:bottom="1155" w:left="1687" w:header="0" w:footer="992" w:gutter="0"/>
        </w:sectPr>
        <w:rPr/>
      </w:pP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ind w:left="685"/>
        <w:spacing w:before="91" w:line="220" w:lineRule="auto"/>
        <w:outlineLvl w:val="1"/>
        <w:rPr/>
      </w:pPr>
      <w:r>
        <w:rPr>
          <w:rFonts w:ascii="Times New Roman" w:hAnsi="Times New Roman" w:eastAsia="Times New Roman" w:cs="Times New Roman"/>
          <w:spacing w:val="-2"/>
        </w:rPr>
        <w:t>5.2 </w:t>
      </w:r>
      <w:r>
        <w:rPr>
          <w:spacing w:val="-2"/>
        </w:rPr>
        <w:t>碳足迹计算</w:t>
      </w:r>
    </w:p>
    <w:p>
      <w:pPr>
        <w:pStyle w:val="BodyText"/>
        <w:ind w:left="685"/>
        <w:spacing w:before="210" w:line="221" w:lineRule="auto"/>
        <w:rPr/>
      </w:pPr>
      <w:r>
        <w:rPr>
          <w:rFonts w:ascii="Times New Roman" w:hAnsi="Times New Roman" w:eastAsia="Times New Roman" w:cs="Times New Roman"/>
          <w:spacing w:val="-1"/>
        </w:rPr>
        <w:t>5.2.1 </w:t>
      </w:r>
      <w:r>
        <w:rPr>
          <w:spacing w:val="-1"/>
        </w:rPr>
        <w:t>碳足迹识别</w:t>
      </w:r>
    </w:p>
    <w:p>
      <w:pPr>
        <w:ind w:left="2660"/>
        <w:spacing w:before="209" w:line="222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2"/>
        </w:rPr>
        <w:t>表</w:t>
      </w:r>
      <w:r>
        <w:rPr>
          <w:rFonts w:ascii="SimHei" w:hAnsi="SimHei" w:eastAsia="SimHei" w:cs="SimHei"/>
          <w:sz w:val="28"/>
          <w:szCs w:val="28"/>
          <w:spacing w:val="-56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pacing w:val="-2"/>
        </w:rPr>
        <w:t>5-2    </w:t>
      </w:r>
      <w:r>
        <w:rPr>
          <w:rFonts w:ascii="SimHei" w:hAnsi="SimHei" w:eastAsia="SimHei" w:cs="SimHei"/>
          <w:sz w:val="28"/>
          <w:szCs w:val="28"/>
          <w:spacing w:val="-2"/>
        </w:rPr>
        <w:t>碳足迹过程识别表</w:t>
      </w:r>
    </w:p>
    <w:p>
      <w:pPr>
        <w:spacing w:line="168" w:lineRule="exact"/>
        <w:rPr/>
      </w:pPr>
      <w:r/>
    </w:p>
    <w:tbl>
      <w:tblPr>
        <w:tblStyle w:val="TableNormal"/>
        <w:tblW w:w="852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13"/>
        <w:gridCol w:w="4411"/>
        <w:gridCol w:w="2680"/>
        <w:gridCol w:w="719"/>
      </w:tblGrid>
      <w:tr>
        <w:trPr>
          <w:trHeight w:val="476" w:hRule="atLeast"/>
        </w:trPr>
        <w:tc>
          <w:tcPr>
            <w:shd w:val="clear" w:fill="D7D7D7"/>
            <w:tcW w:w="713" w:type="dxa"/>
            <w:vAlign w:val="top"/>
          </w:tcPr>
          <w:p>
            <w:pPr>
              <w:pStyle w:val="TableText"/>
              <w:ind w:left="120"/>
              <w:spacing w:before="118" w:line="221" w:lineRule="auto"/>
              <w:rPr/>
            </w:pPr>
            <w:r>
              <w:rPr>
                <w:spacing w:val="-5"/>
              </w:rPr>
              <w:t>序号</w:t>
            </w:r>
          </w:p>
        </w:tc>
        <w:tc>
          <w:tcPr>
            <w:shd w:val="clear" w:fill="D7D7D7"/>
            <w:tcW w:w="4411" w:type="dxa"/>
            <w:vAlign w:val="top"/>
          </w:tcPr>
          <w:p>
            <w:pPr>
              <w:pStyle w:val="TableText"/>
              <w:ind w:left="1974"/>
              <w:spacing w:before="118" w:line="221" w:lineRule="auto"/>
              <w:rPr/>
            </w:pPr>
            <w:r>
              <w:rPr>
                <w:spacing w:val="-6"/>
              </w:rPr>
              <w:t>主体</w:t>
            </w:r>
          </w:p>
        </w:tc>
        <w:tc>
          <w:tcPr>
            <w:shd w:val="clear" w:fill="D7D7D7"/>
            <w:tcW w:w="2680" w:type="dxa"/>
            <w:vAlign w:val="top"/>
          </w:tcPr>
          <w:p>
            <w:pPr>
              <w:pStyle w:val="TableText"/>
              <w:ind w:left="872"/>
              <w:spacing w:before="119" w:line="219" w:lineRule="auto"/>
              <w:rPr/>
            </w:pPr>
            <w:r>
              <w:rPr>
                <w:spacing w:val="-4"/>
              </w:rPr>
              <w:t>活动内容</w:t>
            </w:r>
          </w:p>
        </w:tc>
        <w:tc>
          <w:tcPr>
            <w:shd w:val="clear" w:fill="D7D7D7"/>
            <w:tcW w:w="719" w:type="dxa"/>
            <w:vAlign w:val="top"/>
          </w:tcPr>
          <w:p>
            <w:pPr>
              <w:pStyle w:val="TableText"/>
              <w:ind w:left="128"/>
              <w:spacing w:before="118" w:line="221" w:lineRule="auto"/>
              <w:rPr/>
            </w:pPr>
            <w:r>
              <w:rPr>
                <w:spacing w:val="-7"/>
              </w:rPr>
              <w:t>备注</w:t>
            </w:r>
          </w:p>
        </w:tc>
      </w:tr>
      <w:tr>
        <w:trPr>
          <w:trHeight w:val="471" w:hRule="atLeast"/>
        </w:trPr>
        <w:tc>
          <w:tcPr>
            <w:tcW w:w="713" w:type="dxa"/>
            <w:vAlign w:val="top"/>
          </w:tcPr>
          <w:p>
            <w:pPr>
              <w:ind w:left="320"/>
              <w:spacing w:before="15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4411" w:type="dxa"/>
            <w:vAlign w:val="top"/>
          </w:tcPr>
          <w:p>
            <w:pPr>
              <w:pStyle w:val="TableText"/>
              <w:ind w:left="1377"/>
              <w:spacing w:before="115" w:line="219" w:lineRule="auto"/>
              <w:rPr/>
            </w:pPr>
            <w:r>
              <w:rPr>
                <w:spacing w:val="-3"/>
              </w:rPr>
              <w:t>原材料获取阶段</w:t>
            </w:r>
          </w:p>
        </w:tc>
        <w:tc>
          <w:tcPr>
            <w:tcW w:w="2680" w:type="dxa"/>
            <w:vAlign w:val="top"/>
          </w:tcPr>
          <w:p>
            <w:pPr>
              <w:pStyle w:val="TableText"/>
              <w:ind w:left="754"/>
              <w:spacing w:before="115" w:line="220" w:lineRule="auto"/>
              <w:rPr/>
            </w:pPr>
            <w:r>
              <w:rPr>
                <w:spacing w:val="-4"/>
              </w:rPr>
              <w:t>原料、能源</w:t>
            </w: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6" w:hRule="atLeast"/>
        </w:trPr>
        <w:tc>
          <w:tcPr>
            <w:tcW w:w="713" w:type="dxa"/>
            <w:vAlign w:val="top"/>
          </w:tcPr>
          <w:p>
            <w:pPr>
              <w:ind w:left="297"/>
              <w:spacing w:before="15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4411" w:type="dxa"/>
            <w:vAlign w:val="top"/>
          </w:tcPr>
          <w:p>
            <w:pPr>
              <w:pStyle w:val="TableText"/>
              <w:ind w:left="1492"/>
              <w:spacing w:before="120" w:line="219" w:lineRule="auto"/>
              <w:rPr/>
            </w:pPr>
            <w:r>
              <w:rPr>
                <w:spacing w:val="-2"/>
              </w:rPr>
              <w:t>产品生产阶段</w:t>
            </w:r>
          </w:p>
        </w:tc>
        <w:tc>
          <w:tcPr>
            <w:tcW w:w="2680" w:type="dxa"/>
            <w:vAlign w:val="top"/>
          </w:tcPr>
          <w:p>
            <w:pPr>
              <w:pStyle w:val="TableText"/>
              <w:ind w:left="1117"/>
              <w:spacing w:before="119" w:line="221" w:lineRule="auto"/>
              <w:rPr/>
            </w:pPr>
            <w:r>
              <w:rPr>
                <w:spacing w:val="-10"/>
              </w:rPr>
              <w:t>能源</w:t>
            </w: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682"/>
        <w:spacing w:before="42" w:line="219" w:lineRule="auto"/>
        <w:rPr/>
      </w:pPr>
      <w:r>
        <w:rPr>
          <w:rFonts w:ascii="Times New Roman" w:hAnsi="Times New Roman" w:eastAsia="Times New Roman" w:cs="Times New Roman"/>
          <w:spacing w:val="-2"/>
        </w:rPr>
        <w:t>a.</w:t>
      </w:r>
      <w:r>
        <w:rPr>
          <w:spacing w:val="-2"/>
        </w:rPr>
        <w:t>原材料生产</w:t>
      </w:r>
    </w:p>
    <w:p>
      <w:pPr>
        <w:pStyle w:val="BodyText"/>
        <w:ind w:left="123" w:right="109" w:firstLine="581"/>
        <w:spacing w:before="212" w:line="335" w:lineRule="auto"/>
        <w:rPr/>
      </w:pPr>
      <w:r>
        <w:rPr>
          <w:rFonts w:ascii="Times New Roman" w:hAnsi="Times New Roman" w:eastAsia="Times New Roman" w:cs="Times New Roman"/>
          <w:spacing w:val="-2"/>
        </w:rPr>
        <w:t>1kg </w:t>
      </w:r>
      <w:r>
        <w:rPr>
          <w:spacing w:val="-2"/>
        </w:rPr>
        <w:t>塑料回收物生产需要的原材料主要包括：电视机、冰箱、洗</w:t>
      </w:r>
      <w:r>
        <w:rPr>
          <w:spacing w:val="3"/>
        </w:rPr>
        <w:t xml:space="preserve"> </w:t>
      </w:r>
      <w:r>
        <w:rPr>
          <w:spacing w:val="-4"/>
        </w:rPr>
        <w:t>衣机。</w:t>
      </w:r>
    </w:p>
    <w:p>
      <w:pPr>
        <w:ind w:left="2240"/>
        <w:spacing w:before="203" w:line="222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2"/>
        </w:rPr>
        <w:t>表</w:t>
      </w:r>
      <w:r>
        <w:rPr>
          <w:rFonts w:ascii="SimHei" w:hAnsi="SimHei" w:eastAsia="SimHei" w:cs="SimHei"/>
          <w:sz w:val="28"/>
          <w:szCs w:val="28"/>
          <w:spacing w:val="-50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pacing w:val="-2"/>
        </w:rPr>
        <w:t>5-3    </w:t>
      </w:r>
      <w:r>
        <w:rPr>
          <w:rFonts w:ascii="SimHei" w:hAnsi="SimHei" w:eastAsia="SimHei" w:cs="SimHei"/>
          <w:sz w:val="28"/>
          <w:szCs w:val="28"/>
          <w:spacing w:val="-2"/>
        </w:rPr>
        <w:t>原材料阶段活动水平数据</w:t>
      </w:r>
    </w:p>
    <w:p>
      <w:pPr>
        <w:spacing w:line="115" w:lineRule="exact"/>
        <w:rPr/>
      </w:pPr>
      <w:r/>
    </w:p>
    <w:tbl>
      <w:tblPr>
        <w:tblStyle w:val="TableNormal"/>
        <w:tblW w:w="7882" w:type="dxa"/>
        <w:tblInd w:w="324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578"/>
        <w:gridCol w:w="1573"/>
        <w:gridCol w:w="1569"/>
        <w:gridCol w:w="1579"/>
        <w:gridCol w:w="1583"/>
      </w:tblGrid>
      <w:tr>
        <w:trPr>
          <w:trHeight w:val="479" w:hRule="atLeast"/>
        </w:trPr>
        <w:tc>
          <w:tcPr>
            <w:tcW w:w="1578" w:type="dxa"/>
            <w:vAlign w:val="top"/>
          </w:tcPr>
          <w:p>
            <w:pPr>
              <w:pStyle w:val="TableText"/>
              <w:ind w:left="554"/>
              <w:spacing w:before="119" w:line="221" w:lineRule="auto"/>
              <w:rPr/>
            </w:pPr>
            <w:r>
              <w:rPr>
                <w:spacing w:val="-5"/>
              </w:rPr>
              <w:t>序号</w:t>
            </w:r>
          </w:p>
        </w:tc>
        <w:tc>
          <w:tcPr>
            <w:tcW w:w="1573" w:type="dxa"/>
            <w:vAlign w:val="top"/>
          </w:tcPr>
          <w:p>
            <w:pPr>
              <w:pStyle w:val="TableText"/>
              <w:ind w:left="198"/>
              <w:spacing w:before="119" w:line="219" w:lineRule="auto"/>
              <w:rPr/>
            </w:pPr>
            <w:r>
              <w:rPr>
                <w:spacing w:val="-4"/>
              </w:rPr>
              <w:t>原材料类型</w:t>
            </w:r>
          </w:p>
        </w:tc>
        <w:tc>
          <w:tcPr>
            <w:tcW w:w="1569" w:type="dxa"/>
            <w:vAlign w:val="top"/>
          </w:tcPr>
          <w:p>
            <w:pPr>
              <w:pStyle w:val="TableText"/>
              <w:ind w:left="436"/>
              <w:spacing w:before="120" w:line="219" w:lineRule="auto"/>
              <w:rPr/>
            </w:pPr>
            <w:r>
              <w:rPr>
                <w:spacing w:val="-5"/>
              </w:rPr>
              <w:t>消耗量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ind w:left="580"/>
              <w:spacing w:before="120" w:line="220" w:lineRule="auto"/>
              <w:rPr/>
            </w:pPr>
            <w:r>
              <w:rPr>
                <w:spacing w:val="-6"/>
              </w:rPr>
              <w:t>单位</w:t>
            </w:r>
          </w:p>
        </w:tc>
        <w:tc>
          <w:tcPr>
            <w:tcW w:w="1583" w:type="dxa"/>
            <w:vAlign w:val="top"/>
          </w:tcPr>
          <w:p>
            <w:pPr>
              <w:pStyle w:val="TableText"/>
              <w:ind w:left="318"/>
              <w:spacing w:before="120" w:line="219" w:lineRule="auto"/>
              <w:rPr/>
            </w:pPr>
            <w:r>
              <w:rPr>
                <w:spacing w:val="-3"/>
              </w:rPr>
              <w:t>数据来源</w:t>
            </w:r>
          </w:p>
        </w:tc>
      </w:tr>
      <w:tr>
        <w:trPr>
          <w:trHeight w:val="475" w:hRule="atLeast"/>
        </w:trPr>
        <w:tc>
          <w:tcPr>
            <w:tcW w:w="1578" w:type="dxa"/>
            <w:vAlign w:val="top"/>
          </w:tcPr>
          <w:p>
            <w:pPr>
              <w:ind w:left="754"/>
              <w:spacing w:before="158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73" w:type="dxa"/>
            <w:vAlign w:val="top"/>
          </w:tcPr>
          <w:p>
            <w:pPr>
              <w:pStyle w:val="TableText"/>
              <w:ind w:left="460"/>
              <w:spacing w:before="118" w:line="219" w:lineRule="auto"/>
              <w:rPr/>
            </w:pPr>
            <w:r>
              <w:rPr>
                <w:spacing w:val="-13"/>
              </w:rPr>
              <w:t>电视机</w:t>
            </w:r>
          </w:p>
        </w:tc>
        <w:tc>
          <w:tcPr>
            <w:tcW w:w="1569" w:type="dxa"/>
            <w:vAlign w:val="top"/>
          </w:tcPr>
          <w:p>
            <w:pPr>
              <w:ind w:left="579"/>
              <w:spacing w:before="15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0.32</w:t>
            </w:r>
          </w:p>
        </w:tc>
        <w:tc>
          <w:tcPr>
            <w:tcW w:w="1579" w:type="dxa"/>
            <w:vAlign w:val="top"/>
          </w:tcPr>
          <w:p>
            <w:pPr>
              <w:ind w:left="669"/>
              <w:spacing w:before="153" w:line="192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kg</w:t>
            </w:r>
          </w:p>
        </w:tc>
        <w:tc>
          <w:tcPr>
            <w:tcW w:w="1583" w:type="dxa"/>
            <w:vAlign w:val="top"/>
          </w:tcPr>
          <w:p>
            <w:pPr>
              <w:pStyle w:val="TableText"/>
              <w:ind w:left="196"/>
              <w:spacing w:before="118" w:line="219" w:lineRule="auto"/>
              <w:rPr/>
            </w:pPr>
            <w:r>
              <w:rPr>
                <w:spacing w:val="-2"/>
              </w:rPr>
              <w:t>供应商调查</w:t>
            </w:r>
          </w:p>
        </w:tc>
      </w:tr>
      <w:tr>
        <w:trPr>
          <w:trHeight w:val="475" w:hRule="atLeast"/>
        </w:trPr>
        <w:tc>
          <w:tcPr>
            <w:tcW w:w="1578" w:type="dxa"/>
            <w:vAlign w:val="top"/>
          </w:tcPr>
          <w:p>
            <w:pPr>
              <w:ind w:left="731"/>
              <w:spacing w:before="16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73" w:type="dxa"/>
            <w:vAlign w:val="top"/>
          </w:tcPr>
          <w:p>
            <w:pPr>
              <w:pStyle w:val="TableText"/>
              <w:ind w:left="431"/>
              <w:spacing w:before="118" w:line="219" w:lineRule="auto"/>
              <w:rPr/>
            </w:pPr>
            <w:r>
              <w:rPr>
                <w:spacing w:val="-3"/>
              </w:rPr>
              <w:t>洗衣机</w:t>
            </w:r>
          </w:p>
        </w:tc>
        <w:tc>
          <w:tcPr>
            <w:tcW w:w="1569" w:type="dxa"/>
            <w:vAlign w:val="top"/>
          </w:tcPr>
          <w:p>
            <w:pPr>
              <w:ind w:left="598"/>
              <w:spacing w:before="16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1.08</w:t>
            </w:r>
          </w:p>
        </w:tc>
        <w:tc>
          <w:tcPr>
            <w:tcW w:w="1579" w:type="dxa"/>
            <w:vAlign w:val="top"/>
          </w:tcPr>
          <w:p>
            <w:pPr>
              <w:ind w:left="669"/>
              <w:spacing w:before="155" w:line="192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kg</w:t>
            </w:r>
          </w:p>
        </w:tc>
        <w:tc>
          <w:tcPr>
            <w:tcW w:w="1583" w:type="dxa"/>
            <w:vAlign w:val="top"/>
          </w:tcPr>
          <w:p>
            <w:pPr>
              <w:pStyle w:val="TableText"/>
              <w:ind w:left="196"/>
              <w:spacing w:before="118" w:line="219" w:lineRule="auto"/>
              <w:rPr/>
            </w:pPr>
            <w:r>
              <w:rPr>
                <w:spacing w:val="-2"/>
              </w:rPr>
              <w:t>供应商调查</w:t>
            </w:r>
          </w:p>
        </w:tc>
      </w:tr>
      <w:tr>
        <w:trPr>
          <w:trHeight w:val="489" w:hRule="atLeast"/>
        </w:trPr>
        <w:tc>
          <w:tcPr>
            <w:tcW w:w="1578" w:type="dxa"/>
            <w:vAlign w:val="top"/>
          </w:tcPr>
          <w:p>
            <w:pPr>
              <w:ind w:left="736"/>
              <w:spacing w:before="16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573" w:type="dxa"/>
            <w:vAlign w:val="top"/>
          </w:tcPr>
          <w:p>
            <w:pPr>
              <w:pStyle w:val="TableText"/>
              <w:ind w:left="552"/>
              <w:spacing w:before="125" w:line="220" w:lineRule="auto"/>
              <w:rPr/>
            </w:pPr>
            <w:r>
              <w:rPr>
                <w:spacing w:val="-5"/>
              </w:rPr>
              <w:t>冰箱</w:t>
            </w:r>
          </w:p>
        </w:tc>
        <w:tc>
          <w:tcPr>
            <w:tcW w:w="1569" w:type="dxa"/>
            <w:vAlign w:val="top"/>
          </w:tcPr>
          <w:p>
            <w:pPr>
              <w:ind w:left="579"/>
              <w:spacing w:before="16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0.48</w:t>
            </w:r>
          </w:p>
        </w:tc>
        <w:tc>
          <w:tcPr>
            <w:tcW w:w="1579" w:type="dxa"/>
            <w:vAlign w:val="top"/>
          </w:tcPr>
          <w:p>
            <w:pPr>
              <w:ind w:left="669"/>
              <w:spacing w:before="160" w:line="192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kg</w:t>
            </w:r>
          </w:p>
        </w:tc>
        <w:tc>
          <w:tcPr>
            <w:tcW w:w="1583" w:type="dxa"/>
            <w:vAlign w:val="top"/>
          </w:tcPr>
          <w:p>
            <w:pPr>
              <w:pStyle w:val="TableText"/>
              <w:ind w:left="196"/>
              <w:spacing w:before="125" w:line="219" w:lineRule="auto"/>
              <w:rPr/>
            </w:pPr>
            <w:r>
              <w:rPr>
                <w:spacing w:val="-2"/>
              </w:rPr>
              <w:t>供应商调查</w:t>
            </w:r>
          </w:p>
        </w:tc>
      </w:tr>
    </w:tbl>
    <w:p>
      <w:pPr>
        <w:spacing w:line="431" w:lineRule="auto"/>
        <w:rPr>
          <w:rFonts w:ascii="Arial"/>
          <w:sz w:val="21"/>
        </w:rPr>
      </w:pPr>
      <w:r/>
    </w:p>
    <w:p>
      <w:pPr>
        <w:pStyle w:val="BodyText"/>
        <w:ind w:left="685"/>
        <w:spacing w:before="91" w:line="220" w:lineRule="auto"/>
        <w:rPr/>
      </w:pPr>
      <w:r>
        <w:rPr>
          <w:rFonts w:ascii="Times New Roman" w:hAnsi="Times New Roman" w:eastAsia="Times New Roman" w:cs="Times New Roman"/>
          <w:spacing w:val="-2"/>
        </w:rPr>
        <w:t>5.3.2 </w:t>
      </w:r>
      <w:r>
        <w:rPr>
          <w:spacing w:val="-2"/>
        </w:rPr>
        <w:t>计算公式</w:t>
      </w:r>
    </w:p>
    <w:p>
      <w:pPr>
        <w:pStyle w:val="BodyText"/>
        <w:ind w:left="146" w:right="109" w:firstLine="538"/>
        <w:spacing w:before="213" w:line="335" w:lineRule="auto"/>
        <w:rPr/>
      </w:pPr>
      <w:hyperlink w:history="true" r:id="rId13">
        <w:r>
          <w:rPr>
            <w:rFonts w:ascii="Times New Roman" w:hAnsi="Times New Roman" w:eastAsia="Times New Roman" w:cs="Times New Roman"/>
            <w:spacing w:val="5"/>
          </w:rPr>
          <w:t>5.3.2.1</w:t>
        </w:r>
      </w:hyperlink>
      <w:r>
        <w:rPr>
          <w:rFonts w:ascii="Times New Roman" w:hAnsi="Times New Roman" w:eastAsia="Times New Roman" w:cs="Times New Roman"/>
          <w:spacing w:val="21"/>
          <w:w w:val="101"/>
        </w:rPr>
        <w:t xml:space="preserve"> </w:t>
      </w:r>
      <w:r>
        <w:rPr>
          <w:spacing w:val="5"/>
        </w:rPr>
        <w:t>二氧化碳排放当量是排放因子和基于该因子下</w:t>
      </w:r>
      <w:r>
        <w:rPr>
          <w:spacing w:val="4"/>
        </w:rPr>
        <w:t>活动水平</w:t>
      </w:r>
      <w:r>
        <w:rPr/>
        <w:t xml:space="preserve"> </w:t>
      </w:r>
      <w:r>
        <w:rPr>
          <w:spacing w:val="-9"/>
        </w:rPr>
        <w:t>的乘积：</w:t>
      </w:r>
    </w:p>
    <w:p>
      <w:pPr>
        <w:ind w:left="3651"/>
        <w:spacing w:line="378" w:lineRule="exact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28"/>
          <w:szCs w:val="28"/>
          <w:spacing w:val="-3"/>
          <w:position w:val="2"/>
        </w:rPr>
        <w:t>E </w:t>
      </w:r>
      <w:r>
        <w:rPr>
          <w:rFonts w:ascii="Times New Roman" w:hAnsi="Times New Roman" w:eastAsia="Times New Roman" w:cs="Times New Roman"/>
          <w:sz w:val="18"/>
          <w:szCs w:val="18"/>
          <w:spacing w:val="-3"/>
          <w:position w:val="1"/>
        </w:rPr>
        <w:t>i</w:t>
      </w:r>
      <w:r>
        <w:rPr>
          <w:rFonts w:ascii="Times New Roman" w:hAnsi="Times New Roman" w:eastAsia="Times New Roman" w:cs="Times New Roman"/>
          <w:sz w:val="28"/>
          <w:szCs w:val="28"/>
          <w:spacing w:val="-3"/>
          <w:position w:val="2"/>
        </w:rPr>
        <w:t>=A</w:t>
      </w:r>
      <w:r>
        <w:rPr>
          <w:rFonts w:ascii="Times New Roman" w:hAnsi="Times New Roman" w:eastAsia="Times New Roman" w:cs="Times New Roman"/>
          <w:sz w:val="18"/>
          <w:szCs w:val="18"/>
          <w:spacing w:val="-3"/>
          <w:position w:val="1"/>
        </w:rPr>
        <w:t>i</w:t>
      </w:r>
      <w:r>
        <w:rPr>
          <w:rFonts w:ascii="Times New Roman" w:hAnsi="Times New Roman" w:eastAsia="Times New Roman" w:cs="Times New Roman"/>
          <w:sz w:val="18"/>
          <w:szCs w:val="18"/>
          <w:spacing w:val="-20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pacing w:val="-3"/>
          <w:position w:val="2"/>
        </w:rPr>
        <w:t>×EF</w:t>
      </w:r>
      <w:r>
        <w:rPr>
          <w:rFonts w:ascii="Times New Roman" w:hAnsi="Times New Roman" w:eastAsia="Times New Roman" w:cs="Times New Roman"/>
          <w:sz w:val="18"/>
          <w:szCs w:val="18"/>
          <w:spacing w:val="-3"/>
          <w:position w:val="1"/>
        </w:rPr>
        <w:t>i</w:t>
      </w:r>
    </w:p>
    <w:p>
      <w:pPr>
        <w:pStyle w:val="BodyText"/>
        <w:ind w:left="691"/>
        <w:spacing w:before="176" w:line="221" w:lineRule="auto"/>
        <w:rPr/>
      </w:pPr>
      <w:r>
        <w:rPr>
          <w:spacing w:val="-5"/>
        </w:rPr>
        <w:t>公式中，</w:t>
      </w:r>
    </w:p>
    <w:p>
      <w:pPr>
        <w:pStyle w:val="BodyText"/>
        <w:ind w:left="677"/>
        <w:spacing w:before="210" w:line="219" w:lineRule="auto"/>
        <w:rPr/>
      </w:pPr>
      <w:r>
        <w:rPr>
          <w:rFonts w:ascii="Times New Roman" w:hAnsi="Times New Roman" w:eastAsia="Times New Roman" w:cs="Times New Roman"/>
          <w:spacing w:val="-2"/>
        </w:rPr>
        <w:t>E </w:t>
      </w:r>
      <w:r>
        <w:rPr>
          <w:rFonts w:ascii="Times New Roman" w:hAnsi="Times New Roman" w:eastAsia="Times New Roman" w:cs="Times New Roman"/>
          <w:sz w:val="18"/>
          <w:szCs w:val="18"/>
          <w:spacing w:val="-2"/>
          <w:position w:val="-2"/>
        </w:rPr>
        <w:t>i</w:t>
      </w:r>
      <w:r>
        <w:rPr>
          <w:rFonts w:ascii="Times New Roman" w:hAnsi="Times New Roman" w:eastAsia="Times New Roman" w:cs="Times New Roman"/>
          <w:sz w:val="18"/>
          <w:szCs w:val="18"/>
          <w:spacing w:val="27"/>
          <w:w w:val="102"/>
          <w:position w:val="-2"/>
        </w:rPr>
        <w:t xml:space="preserve"> </w:t>
      </w:r>
      <w:r>
        <w:rPr>
          <w:spacing w:val="-2"/>
        </w:rPr>
        <w:t>为第</w:t>
      </w:r>
      <w:r>
        <w:rPr>
          <w:spacing w:val="-63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i </w:t>
      </w:r>
      <w:r>
        <w:rPr>
          <w:spacing w:val="-2"/>
        </w:rPr>
        <w:t>种活动的二氧化碳排放量，</w:t>
      </w:r>
      <w:r>
        <w:rPr>
          <w:rFonts w:ascii="Times New Roman" w:hAnsi="Times New Roman" w:eastAsia="Times New Roman" w:cs="Times New Roman"/>
          <w:spacing w:val="-2"/>
        </w:rPr>
        <w:t>t</w:t>
      </w:r>
      <w:r>
        <w:rPr>
          <w:spacing w:val="-2"/>
        </w:rPr>
        <w:t>；</w:t>
      </w:r>
    </w:p>
    <w:p>
      <w:pPr>
        <w:pStyle w:val="BodyText"/>
        <w:ind w:left="674"/>
        <w:spacing w:before="213" w:line="211" w:lineRule="auto"/>
        <w:rPr/>
      </w:pPr>
      <w:r>
        <w:rPr>
          <w:rFonts w:ascii="Times New Roman" w:hAnsi="Times New Roman" w:eastAsia="Times New Roman" w:cs="Times New Roman"/>
          <w:spacing w:val="-6"/>
        </w:rPr>
        <w:t>A </w:t>
      </w:r>
      <w:r>
        <w:rPr>
          <w:rFonts w:ascii="Times New Roman" w:hAnsi="Times New Roman" w:eastAsia="Times New Roman" w:cs="Times New Roman"/>
          <w:sz w:val="18"/>
          <w:szCs w:val="18"/>
          <w:spacing w:val="-6"/>
          <w:position w:val="-2"/>
        </w:rPr>
        <w:t>i</w:t>
      </w:r>
      <w:r>
        <w:rPr>
          <w:rFonts w:ascii="Times New Roman" w:hAnsi="Times New Roman" w:eastAsia="Times New Roman" w:cs="Times New Roman"/>
          <w:sz w:val="18"/>
          <w:szCs w:val="18"/>
          <w:spacing w:val="32"/>
          <w:w w:val="101"/>
          <w:position w:val="-2"/>
        </w:rPr>
        <w:t xml:space="preserve"> </w:t>
      </w:r>
      <w:r>
        <w:rPr>
          <w:spacing w:val="-6"/>
        </w:rPr>
        <w:t>为第</w:t>
      </w:r>
      <w:r>
        <w:rPr>
          <w:spacing w:val="-65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>i </w:t>
      </w:r>
      <w:r>
        <w:rPr>
          <w:spacing w:val="-6"/>
        </w:rPr>
        <w:t>种活动的活动水平</w:t>
      </w:r>
      <w:r>
        <w:rPr>
          <w:rFonts w:ascii="Times New Roman" w:hAnsi="Times New Roman" w:eastAsia="Times New Roman" w:cs="Times New Roman"/>
          <w:spacing w:val="-6"/>
        </w:rPr>
        <w:t>(</w:t>
      </w:r>
      <w:r>
        <w:rPr>
          <w:spacing w:val="-6"/>
        </w:rPr>
        <w:t>如电耗量，</w:t>
      </w:r>
      <w:r>
        <w:rPr>
          <w:rFonts w:ascii="Times New Roman" w:hAnsi="Times New Roman" w:eastAsia="Times New Roman" w:cs="Times New Roman"/>
          <w:spacing w:val="-6"/>
        </w:rPr>
        <w:t>kW</w:t>
      </w:r>
      <w:r>
        <w:rPr>
          <w:rFonts w:ascii="Times New Roman" w:hAnsi="Times New Roman" w:eastAsia="Times New Roman" w:cs="Times New Roman"/>
          <w:spacing w:val="37"/>
        </w:rPr>
        <w:t xml:space="preserve"> </w:t>
      </w:r>
      <w:r>
        <w:rPr>
          <w:spacing w:val="-6"/>
        </w:rPr>
        <w:t>·</w:t>
      </w:r>
      <w:r>
        <w:rPr>
          <w:rFonts w:ascii="Times New Roman" w:hAnsi="Times New Roman" w:eastAsia="Times New Roman" w:cs="Times New Roman"/>
          <w:spacing w:val="-6"/>
        </w:rPr>
        <w:t>h)</w:t>
      </w:r>
      <w:r>
        <w:rPr>
          <w:spacing w:val="-6"/>
        </w:rPr>
        <w:t>；</w:t>
      </w:r>
    </w:p>
    <w:p>
      <w:pPr>
        <w:pStyle w:val="BodyText"/>
        <w:ind w:left="128" w:right="172" w:firstLine="549"/>
        <w:spacing w:before="224" w:line="346" w:lineRule="auto"/>
        <w:rPr/>
      </w:pPr>
      <w:r>
        <w:rPr>
          <w:rFonts w:ascii="Times New Roman" w:hAnsi="Times New Roman" w:eastAsia="Times New Roman" w:cs="Times New Roman"/>
        </w:rPr>
        <w:t>EF</w:t>
      </w:r>
      <w:r>
        <w:rPr>
          <w:rFonts w:ascii="Times New Roman" w:hAnsi="Times New Roman" w:eastAsia="Times New Roman" w:cs="Times New Roman"/>
          <w:sz w:val="18"/>
          <w:szCs w:val="18"/>
          <w:position w:val="-2"/>
        </w:rPr>
        <w:t>i</w:t>
      </w:r>
      <w:r>
        <w:rPr>
          <w:rFonts w:ascii="Times New Roman" w:hAnsi="Times New Roman" w:eastAsia="Times New Roman" w:cs="Times New Roman"/>
          <w:sz w:val="18"/>
          <w:szCs w:val="18"/>
          <w:spacing w:val="25"/>
          <w:position w:val="-2"/>
        </w:rPr>
        <w:t xml:space="preserve"> </w:t>
      </w:r>
      <w:r>
        <w:rPr/>
        <w:t>为第</w:t>
      </w:r>
      <w:r>
        <w:rPr>
          <w:spacing w:val="-58"/>
        </w:rPr>
        <w:t xml:space="preserve"> </w:t>
      </w:r>
      <w:r>
        <w:rPr>
          <w:rFonts w:ascii="Times New Roman" w:hAnsi="Times New Roman" w:eastAsia="Times New Roman" w:cs="Times New Roman"/>
        </w:rPr>
        <w:t>i </w:t>
      </w:r>
      <w:r>
        <w:rPr/>
        <w:t>种活动的排放因子，即单位活动下二氧化碳排放量， </w:t>
      </w:r>
      <w:r>
        <w:rPr>
          <w:spacing w:val="-1"/>
        </w:rPr>
        <w:t>不同的活动水平排放因子的单位有所不同。</w:t>
      </w:r>
    </w:p>
    <w:p>
      <w:pPr>
        <w:pStyle w:val="BodyText"/>
        <w:ind w:left="127" w:right="109" w:firstLine="558"/>
        <w:spacing w:before="40" w:line="346" w:lineRule="auto"/>
        <w:rPr/>
      </w:pPr>
      <w:hyperlink w:history="true" r:id="rId14">
        <w:r>
          <w:rPr>
            <w:rFonts w:ascii="Times New Roman" w:hAnsi="Times New Roman" w:eastAsia="Times New Roman" w:cs="Times New Roman"/>
            <w:spacing w:val="-5"/>
          </w:rPr>
          <w:t>5.3.2.2</w:t>
        </w:r>
      </w:hyperlink>
      <w:r>
        <w:rPr>
          <w:rFonts w:ascii="Times New Roman" w:hAnsi="Times New Roman" w:eastAsia="Times New Roman" w:cs="Times New Roman"/>
          <w:spacing w:val="52"/>
          <w:w w:val="101"/>
        </w:rPr>
        <w:t xml:space="preserve"> </w:t>
      </w:r>
      <w:r>
        <w:rPr>
          <w:spacing w:val="-5"/>
        </w:rPr>
        <w:t>甲烷和氮氧化物排放当量是排放因子、基于该因子下活动</w:t>
      </w:r>
      <w:r>
        <w:rPr/>
        <w:t xml:space="preserve"> </w:t>
      </w:r>
      <w:r>
        <w:rPr>
          <w:spacing w:val="-2"/>
        </w:rPr>
        <w:t>水平和增温潜势的乘积：</w:t>
      </w:r>
    </w:p>
    <w:p>
      <w:pPr>
        <w:spacing w:line="346" w:lineRule="auto"/>
        <w:sectPr>
          <w:footerReference w:type="default" r:id="rId12"/>
          <w:pgSz w:w="11906" w:h="16839"/>
          <w:pgMar w:top="400" w:right="1690" w:bottom="1157" w:left="1687" w:header="0" w:footer="992" w:gutter="0"/>
        </w:sectPr>
        <w:rPr/>
      </w:pPr>
    </w:p>
    <w:p>
      <w:pPr>
        <w:spacing w:line="307" w:lineRule="auto"/>
        <w:rPr>
          <w:rFonts w:ascii="Arial"/>
          <w:sz w:val="21"/>
        </w:rPr>
      </w:pPr>
      <w:r/>
    </w:p>
    <w:p>
      <w:pPr>
        <w:spacing w:line="307" w:lineRule="auto"/>
        <w:rPr>
          <w:rFonts w:ascii="Arial"/>
          <w:sz w:val="21"/>
        </w:rPr>
      </w:pPr>
      <w:r/>
    </w:p>
    <w:p>
      <w:pPr>
        <w:spacing w:line="308" w:lineRule="auto"/>
        <w:rPr>
          <w:rFonts w:ascii="Arial"/>
          <w:sz w:val="21"/>
        </w:rPr>
      </w:pPr>
      <w:r/>
    </w:p>
    <w:p>
      <w:pPr>
        <w:ind w:left="3099"/>
        <w:spacing w:before="80" w:line="378" w:lineRule="exact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28"/>
          <w:szCs w:val="28"/>
          <w:spacing w:val="-1"/>
          <w:position w:val="4"/>
        </w:rPr>
        <w:t>E</w:t>
      </w:r>
      <w:r>
        <w:rPr>
          <w:rFonts w:ascii="Times New Roman" w:hAnsi="Times New Roman" w:eastAsia="Times New Roman" w:cs="Times New Roman"/>
          <w:sz w:val="18"/>
          <w:szCs w:val="18"/>
          <w:spacing w:val="-1"/>
          <w:position w:val="3"/>
        </w:rPr>
        <w:t>ij</w:t>
      </w:r>
      <w:r>
        <w:rPr>
          <w:rFonts w:ascii="Times New Roman" w:hAnsi="Times New Roman" w:eastAsia="Times New Roman" w:cs="Times New Roman"/>
          <w:sz w:val="28"/>
          <w:szCs w:val="28"/>
          <w:spacing w:val="-1"/>
          <w:position w:val="4"/>
        </w:rPr>
        <w:t>=A</w:t>
      </w:r>
      <w:r>
        <w:rPr>
          <w:rFonts w:ascii="Times New Roman" w:hAnsi="Times New Roman" w:eastAsia="Times New Roman" w:cs="Times New Roman"/>
          <w:sz w:val="18"/>
          <w:szCs w:val="18"/>
          <w:spacing w:val="-1"/>
          <w:position w:val="3"/>
        </w:rPr>
        <w:t>ij</w:t>
      </w:r>
      <w:r>
        <w:rPr>
          <w:rFonts w:ascii="Times New Roman" w:hAnsi="Times New Roman" w:eastAsia="Times New Roman" w:cs="Times New Roman"/>
          <w:sz w:val="28"/>
          <w:szCs w:val="28"/>
          <w:spacing w:val="-1"/>
          <w:position w:val="4"/>
        </w:rPr>
        <w:t>×EF</w:t>
      </w:r>
      <w:r>
        <w:rPr>
          <w:rFonts w:ascii="Times New Roman" w:hAnsi="Times New Roman" w:eastAsia="Times New Roman" w:cs="Times New Roman"/>
          <w:sz w:val="18"/>
          <w:szCs w:val="18"/>
          <w:spacing w:val="-1"/>
          <w:position w:val="3"/>
        </w:rPr>
        <w:t>ij</w:t>
      </w:r>
      <w:r>
        <w:rPr>
          <w:rFonts w:ascii="Times New Roman" w:hAnsi="Times New Roman" w:eastAsia="Times New Roman" w:cs="Times New Roman"/>
          <w:sz w:val="28"/>
          <w:szCs w:val="28"/>
          <w:spacing w:val="-1"/>
          <w:position w:val="4"/>
        </w:rPr>
        <w:t>×GWP</w:t>
      </w:r>
      <w:r>
        <w:rPr>
          <w:rFonts w:ascii="Times New Roman" w:hAnsi="Times New Roman" w:eastAsia="Times New Roman" w:cs="Times New Roman"/>
          <w:sz w:val="18"/>
          <w:szCs w:val="18"/>
          <w:spacing w:val="-1"/>
          <w:position w:val="3"/>
        </w:rPr>
        <w:t>j</w:t>
      </w:r>
    </w:p>
    <w:p>
      <w:pPr>
        <w:pStyle w:val="BodyText"/>
        <w:ind w:left="592"/>
        <w:spacing w:before="176" w:line="221" w:lineRule="auto"/>
        <w:rPr/>
      </w:pPr>
      <w:r>
        <w:rPr>
          <w:spacing w:val="-5"/>
        </w:rPr>
        <w:t>公式中，</w:t>
      </w:r>
    </w:p>
    <w:p>
      <w:pPr>
        <w:pStyle w:val="BodyText"/>
        <w:ind w:left="579"/>
        <w:spacing w:before="209" w:line="213" w:lineRule="auto"/>
        <w:rPr/>
      </w:pPr>
      <w:r>
        <w:rPr>
          <w:rFonts w:ascii="Times New Roman" w:hAnsi="Times New Roman" w:eastAsia="Times New Roman" w:cs="Times New Roman"/>
        </w:rPr>
        <w:t>E</w:t>
      </w:r>
      <w:r>
        <w:rPr>
          <w:rFonts w:ascii="Times New Roman" w:hAnsi="Times New Roman" w:eastAsia="Times New Roman" w:cs="Times New Roman"/>
          <w:sz w:val="18"/>
          <w:szCs w:val="18"/>
          <w:position w:val="-2"/>
        </w:rPr>
        <w:t>ij</w:t>
      </w:r>
      <w:r>
        <w:rPr>
          <w:rFonts w:ascii="Times New Roman" w:hAnsi="Times New Roman" w:eastAsia="Times New Roman" w:cs="Times New Roman"/>
          <w:sz w:val="18"/>
          <w:szCs w:val="18"/>
          <w:spacing w:val="13"/>
          <w:w w:val="101"/>
          <w:position w:val="-2"/>
        </w:rPr>
        <w:t xml:space="preserve"> </w:t>
      </w:r>
      <w:r>
        <w:rPr>
          <w:spacing w:val="2"/>
        </w:rPr>
        <w:t>为第</w:t>
      </w:r>
      <w:r>
        <w:rPr>
          <w:spacing w:val="-65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i </w:t>
      </w:r>
      <w:r>
        <w:rPr>
          <w:spacing w:val="2"/>
        </w:rPr>
        <w:t>种活动的</w:t>
      </w:r>
      <w:r>
        <w:rPr>
          <w:rFonts w:ascii="Times New Roman" w:hAnsi="Times New Roman" w:eastAsia="Times New Roman" w:cs="Times New Roman"/>
          <w:spacing w:val="2"/>
        </w:rPr>
        <w:t>j </w:t>
      </w:r>
      <w:r>
        <w:rPr>
          <w:spacing w:val="2"/>
        </w:rPr>
        <w:t>种温室气体的排放量</w:t>
      </w:r>
      <w:r>
        <w:rPr>
          <w:rFonts w:ascii="Times New Roman" w:hAnsi="Times New Roman" w:eastAsia="Times New Roman" w:cs="Times New Roman"/>
          <w:spacing w:val="2"/>
        </w:rPr>
        <w:t>(t)</w:t>
      </w:r>
      <w:r>
        <w:rPr>
          <w:spacing w:val="2"/>
        </w:rPr>
        <w:t>；</w:t>
      </w:r>
    </w:p>
    <w:p>
      <w:pPr>
        <w:pStyle w:val="BodyText"/>
        <w:spacing w:before="221" w:line="213" w:lineRule="auto"/>
        <w:jc w:val="right"/>
        <w:rPr/>
      </w:pPr>
      <w:r>
        <w:rPr>
          <w:rFonts w:ascii="Times New Roman" w:hAnsi="Times New Roman" w:eastAsia="Times New Roman" w:cs="Times New Roman"/>
          <w:spacing w:val="-6"/>
        </w:rPr>
        <w:t>A</w:t>
      </w:r>
      <w:r>
        <w:rPr>
          <w:rFonts w:ascii="Times New Roman" w:hAnsi="Times New Roman" w:eastAsia="Times New Roman" w:cs="Times New Roman"/>
          <w:sz w:val="18"/>
          <w:szCs w:val="18"/>
          <w:spacing w:val="-6"/>
          <w:position w:val="-2"/>
        </w:rPr>
        <w:t>ij</w:t>
      </w:r>
      <w:r>
        <w:rPr>
          <w:rFonts w:ascii="Times New Roman" w:hAnsi="Times New Roman" w:eastAsia="Times New Roman" w:cs="Times New Roman"/>
          <w:sz w:val="18"/>
          <w:szCs w:val="18"/>
          <w:spacing w:val="31"/>
          <w:w w:val="101"/>
          <w:position w:val="-2"/>
        </w:rPr>
        <w:t xml:space="preserve"> </w:t>
      </w:r>
      <w:r>
        <w:rPr>
          <w:spacing w:val="-6"/>
        </w:rPr>
        <w:t>为第</w:t>
      </w:r>
      <w:r>
        <w:rPr>
          <w:spacing w:val="-63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>i </w:t>
      </w:r>
      <w:r>
        <w:rPr>
          <w:spacing w:val="-6"/>
        </w:rPr>
        <w:t>种活动第</w:t>
      </w:r>
      <w:r>
        <w:rPr>
          <w:rFonts w:ascii="Times New Roman" w:hAnsi="Times New Roman" w:eastAsia="Times New Roman" w:cs="Times New Roman"/>
          <w:spacing w:val="-6"/>
        </w:rPr>
        <w:t>j </w:t>
      </w:r>
      <w:r>
        <w:rPr>
          <w:spacing w:val="-6"/>
        </w:rPr>
        <w:t>种温室气体的活动水平</w:t>
      </w:r>
      <w:r>
        <w:rPr>
          <w:rFonts w:ascii="Times New Roman" w:hAnsi="Times New Roman" w:eastAsia="Times New Roman" w:cs="Times New Roman"/>
          <w:spacing w:val="-6"/>
        </w:rPr>
        <w:t>(</w:t>
      </w:r>
      <w:r>
        <w:rPr>
          <w:spacing w:val="-6"/>
        </w:rPr>
        <w:t>如耗电量，</w:t>
      </w:r>
      <w:r>
        <w:rPr>
          <w:rFonts w:ascii="Times New Roman" w:hAnsi="Times New Roman" w:eastAsia="Times New Roman" w:cs="Times New Roman"/>
          <w:spacing w:val="-6"/>
        </w:rPr>
        <w:t>kW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-6"/>
        </w:rPr>
        <w:t>·</w:t>
      </w:r>
      <w:r>
        <w:rPr>
          <w:rFonts w:ascii="Times New Roman" w:hAnsi="Times New Roman" w:eastAsia="Times New Roman" w:cs="Times New Roman"/>
          <w:spacing w:val="-6"/>
        </w:rPr>
        <w:t>h)</w:t>
      </w:r>
      <w:r>
        <w:rPr>
          <w:spacing w:val="-6"/>
        </w:rPr>
        <w:t>；</w:t>
      </w:r>
    </w:p>
    <w:p>
      <w:pPr>
        <w:pStyle w:val="BodyText"/>
        <w:ind w:left="29" w:right="73" w:firstLine="549"/>
        <w:spacing w:before="223" w:line="334" w:lineRule="auto"/>
        <w:rPr/>
      </w:pPr>
      <w:r>
        <w:rPr>
          <w:rFonts w:ascii="Times New Roman" w:hAnsi="Times New Roman" w:eastAsia="Times New Roman" w:cs="Times New Roman"/>
        </w:rPr>
        <w:t>EF</w:t>
      </w:r>
      <w:r>
        <w:rPr>
          <w:rFonts w:ascii="Times New Roman" w:hAnsi="Times New Roman" w:eastAsia="Times New Roman" w:cs="Times New Roman"/>
          <w:sz w:val="18"/>
          <w:szCs w:val="18"/>
          <w:position w:val="-1"/>
        </w:rPr>
        <w:t>ij</w:t>
      </w:r>
      <w:r>
        <w:rPr>
          <w:rFonts w:ascii="Times New Roman" w:hAnsi="Times New Roman" w:eastAsia="Times New Roman" w:cs="Times New Roman"/>
          <w:sz w:val="18"/>
          <w:szCs w:val="18"/>
          <w:spacing w:val="33"/>
          <w:position w:val="-1"/>
        </w:rPr>
        <w:t xml:space="preserve"> </w:t>
      </w:r>
      <w:r>
        <w:rPr>
          <w:spacing w:val="5"/>
        </w:rPr>
        <w:t>为第</w:t>
      </w:r>
      <w:r>
        <w:rPr>
          <w:spacing w:val="-60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i </w:t>
      </w:r>
      <w:r>
        <w:rPr>
          <w:spacing w:val="5"/>
        </w:rPr>
        <w:t>种活动的第</w:t>
      </w:r>
      <w:r>
        <w:rPr>
          <w:rFonts w:ascii="Times New Roman" w:hAnsi="Times New Roman" w:eastAsia="Times New Roman" w:cs="Times New Roman"/>
          <w:spacing w:val="5"/>
        </w:rPr>
        <w:t>j </w:t>
      </w:r>
      <w:r>
        <w:rPr>
          <w:spacing w:val="5"/>
        </w:rPr>
        <w:t>种温室气体的排放因子，即单位活动下</w:t>
      </w:r>
      <w:r>
        <w:rPr/>
        <w:t xml:space="preserve"> </w:t>
      </w:r>
      <w:r>
        <w:rPr>
          <w:spacing w:val="-1"/>
        </w:rPr>
        <w:t>二氧化碳排放量，不同的单位活动排放因子的单位有所不同；</w:t>
      </w:r>
    </w:p>
    <w:p>
      <w:pPr>
        <w:pStyle w:val="BodyText"/>
        <w:ind w:left="583"/>
        <w:spacing w:before="75" w:line="213" w:lineRule="auto"/>
        <w:rPr/>
      </w:pPr>
      <w:r>
        <w:rPr>
          <w:rFonts w:ascii="Times New Roman" w:hAnsi="Times New Roman" w:eastAsia="Times New Roman" w:cs="Times New Roman"/>
        </w:rPr>
        <w:t>GWP</w:t>
      </w:r>
      <w:r>
        <w:rPr>
          <w:rFonts w:ascii="Times New Roman" w:hAnsi="Times New Roman" w:eastAsia="Times New Roman" w:cs="Times New Roman"/>
          <w:sz w:val="18"/>
          <w:szCs w:val="18"/>
          <w:position w:val="-2"/>
        </w:rPr>
        <w:t>j</w:t>
      </w:r>
      <w:r>
        <w:rPr>
          <w:rFonts w:ascii="Times New Roman" w:hAnsi="Times New Roman" w:eastAsia="Times New Roman" w:cs="Times New Roman"/>
          <w:sz w:val="18"/>
          <w:szCs w:val="18"/>
          <w:spacing w:val="18"/>
          <w:position w:val="-2"/>
        </w:rPr>
        <w:t xml:space="preserve"> </w:t>
      </w:r>
      <w:r>
        <w:rPr>
          <w:spacing w:val="8"/>
        </w:rPr>
        <w:t>为第</w:t>
      </w:r>
      <w:r>
        <w:rPr>
          <w:rFonts w:ascii="Times New Roman" w:hAnsi="Times New Roman" w:eastAsia="Times New Roman" w:cs="Times New Roman"/>
          <w:spacing w:val="8"/>
        </w:rPr>
        <w:t>j</w:t>
      </w:r>
      <w:r>
        <w:rPr>
          <w:spacing w:val="8"/>
        </w:rPr>
        <w:t>种温室气体的增温潜势。</w:t>
      </w:r>
    </w:p>
    <w:p>
      <w:pPr>
        <w:pStyle w:val="BodyText"/>
        <w:ind w:left="586"/>
        <w:spacing w:before="222" w:line="219" w:lineRule="auto"/>
        <w:rPr/>
      </w:pPr>
      <w:hyperlink w:history="true" r:id="rId16">
        <w:r>
          <w:rPr>
            <w:rFonts w:ascii="Times New Roman" w:hAnsi="Times New Roman" w:eastAsia="Times New Roman" w:cs="Times New Roman"/>
            <w:spacing w:val="-1"/>
          </w:rPr>
          <w:t>5.3.2.3</w:t>
        </w:r>
      </w:hyperlink>
      <w:r>
        <w:rPr>
          <w:rFonts w:ascii="Times New Roman" w:hAnsi="Times New Roman" w:eastAsia="Times New Roman" w:cs="Times New Roman"/>
          <w:spacing w:val="-1"/>
        </w:rPr>
        <w:t xml:space="preserve"> </w:t>
      </w:r>
      <w:r>
        <w:rPr>
          <w:spacing w:val="-1"/>
        </w:rPr>
        <w:t>二氧化碳排放总当量</w:t>
      </w:r>
    </w:p>
    <w:p>
      <w:pPr>
        <w:ind w:left="2936"/>
        <w:spacing w:before="140" w:line="378" w:lineRule="exact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28"/>
          <w:szCs w:val="28"/>
          <w:spacing w:val="-1"/>
          <w:position w:val="4"/>
        </w:rPr>
        <w:t>E=Σ</w:t>
      </w:r>
      <w:r>
        <w:rPr>
          <w:rFonts w:ascii="Times New Roman" w:hAnsi="Times New Roman" w:eastAsia="Times New Roman" w:cs="Times New Roman"/>
          <w:sz w:val="18"/>
          <w:szCs w:val="18"/>
          <w:spacing w:val="-1"/>
          <w:position w:val="3"/>
        </w:rPr>
        <w:t>i</w:t>
      </w:r>
      <w:r>
        <w:rPr>
          <w:rFonts w:ascii="Times New Roman" w:hAnsi="Times New Roman" w:eastAsia="Times New Roman" w:cs="Times New Roman"/>
          <w:sz w:val="28"/>
          <w:szCs w:val="28"/>
          <w:spacing w:val="-1"/>
          <w:position w:val="4"/>
        </w:rPr>
        <w:t>Σ</w:t>
      </w:r>
      <w:r>
        <w:rPr>
          <w:rFonts w:ascii="Times New Roman" w:hAnsi="Times New Roman" w:eastAsia="Times New Roman" w:cs="Times New Roman"/>
          <w:sz w:val="18"/>
          <w:szCs w:val="18"/>
          <w:spacing w:val="-1"/>
          <w:position w:val="3"/>
        </w:rPr>
        <w:t>j</w:t>
      </w:r>
      <w:r>
        <w:rPr>
          <w:rFonts w:ascii="Times New Roman" w:hAnsi="Times New Roman" w:eastAsia="Times New Roman" w:cs="Times New Roman"/>
          <w:sz w:val="28"/>
          <w:szCs w:val="28"/>
          <w:spacing w:val="-1"/>
          <w:position w:val="4"/>
        </w:rPr>
        <w:t>A</w:t>
      </w:r>
      <w:r>
        <w:rPr>
          <w:rFonts w:ascii="Times New Roman" w:hAnsi="Times New Roman" w:eastAsia="Times New Roman" w:cs="Times New Roman"/>
          <w:sz w:val="18"/>
          <w:szCs w:val="18"/>
          <w:spacing w:val="-1"/>
          <w:position w:val="3"/>
        </w:rPr>
        <w:t>ij</w:t>
      </w:r>
      <w:r>
        <w:rPr>
          <w:rFonts w:ascii="Times New Roman" w:hAnsi="Times New Roman" w:eastAsia="Times New Roman" w:cs="Times New Roman"/>
          <w:sz w:val="28"/>
          <w:szCs w:val="28"/>
          <w:spacing w:val="-1"/>
          <w:position w:val="4"/>
        </w:rPr>
        <w:t>×EF</w:t>
      </w:r>
      <w:r>
        <w:rPr>
          <w:rFonts w:ascii="Times New Roman" w:hAnsi="Times New Roman" w:eastAsia="Times New Roman" w:cs="Times New Roman"/>
          <w:sz w:val="18"/>
          <w:szCs w:val="18"/>
          <w:spacing w:val="-1"/>
          <w:position w:val="3"/>
        </w:rPr>
        <w:t>ij</w:t>
      </w:r>
      <w:r>
        <w:rPr>
          <w:rFonts w:ascii="Times New Roman" w:hAnsi="Times New Roman" w:eastAsia="Times New Roman" w:cs="Times New Roman"/>
          <w:sz w:val="28"/>
          <w:szCs w:val="28"/>
          <w:spacing w:val="-1"/>
          <w:position w:val="4"/>
        </w:rPr>
        <w:t>×GWP</w:t>
      </w:r>
      <w:r>
        <w:rPr>
          <w:rFonts w:ascii="Times New Roman" w:hAnsi="Times New Roman" w:eastAsia="Times New Roman" w:cs="Times New Roman"/>
          <w:sz w:val="18"/>
          <w:szCs w:val="18"/>
          <w:spacing w:val="-1"/>
          <w:position w:val="3"/>
        </w:rPr>
        <w:t>j</w:t>
      </w:r>
    </w:p>
    <w:p>
      <w:pPr>
        <w:pStyle w:val="BodyText"/>
        <w:ind w:left="586"/>
        <w:spacing w:before="177" w:line="220" w:lineRule="auto"/>
        <w:rPr/>
      </w:pPr>
      <w:r>
        <w:rPr>
          <w:rFonts w:ascii="Times New Roman" w:hAnsi="Times New Roman" w:eastAsia="Times New Roman" w:cs="Times New Roman"/>
          <w:spacing w:val="-1"/>
        </w:rPr>
        <w:t>5.3.3 </w:t>
      </w:r>
      <w:r>
        <w:rPr>
          <w:spacing w:val="-1"/>
        </w:rPr>
        <w:t>碳足迹计算结果</w:t>
      </w:r>
    </w:p>
    <w:p>
      <w:pPr>
        <w:ind w:left="2069"/>
        <w:spacing w:before="210" w:line="222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2"/>
        </w:rPr>
        <w:t>表</w:t>
      </w:r>
      <w:r>
        <w:rPr>
          <w:rFonts w:ascii="SimHei" w:hAnsi="SimHei" w:eastAsia="SimHei" w:cs="SimHei"/>
          <w:sz w:val="28"/>
          <w:szCs w:val="28"/>
          <w:spacing w:val="-42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pacing w:val="-2"/>
        </w:rPr>
        <w:t>5-4      </w:t>
      </w:r>
      <w:r>
        <w:rPr>
          <w:rFonts w:ascii="SimHei" w:hAnsi="SimHei" w:eastAsia="SimHei" w:cs="SimHei"/>
          <w:sz w:val="28"/>
          <w:szCs w:val="28"/>
          <w:spacing w:val="-2"/>
        </w:rPr>
        <w:t>生命周期碳排放清单说明</w:t>
      </w:r>
    </w:p>
    <w:p>
      <w:pPr>
        <w:spacing w:line="169" w:lineRule="exact"/>
        <w:rPr/>
      </w:pPr>
      <w:r/>
    </w:p>
    <w:tbl>
      <w:tblPr>
        <w:tblStyle w:val="TableNormal"/>
        <w:tblW w:w="8347" w:type="dxa"/>
        <w:tblInd w:w="1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688"/>
        <w:gridCol w:w="2770"/>
        <w:gridCol w:w="1905"/>
        <w:gridCol w:w="1984"/>
      </w:tblGrid>
      <w:tr>
        <w:trPr>
          <w:trHeight w:val="476" w:hRule="atLeast"/>
        </w:trPr>
        <w:tc>
          <w:tcPr>
            <w:tcW w:w="1688" w:type="dxa"/>
            <w:vAlign w:val="top"/>
          </w:tcPr>
          <w:p>
            <w:pPr>
              <w:pStyle w:val="TableText"/>
              <w:ind w:left="610"/>
              <w:spacing w:before="118" w:line="221" w:lineRule="auto"/>
              <w:rPr/>
            </w:pPr>
            <w:r>
              <w:rPr>
                <w:spacing w:val="-5"/>
              </w:rPr>
              <w:t>序号</w:t>
            </w:r>
          </w:p>
        </w:tc>
        <w:tc>
          <w:tcPr>
            <w:tcW w:w="2770" w:type="dxa"/>
            <w:vAlign w:val="top"/>
          </w:tcPr>
          <w:p>
            <w:pPr>
              <w:pStyle w:val="TableText"/>
              <w:ind w:left="912"/>
              <w:spacing w:before="118" w:line="220" w:lineRule="auto"/>
              <w:rPr/>
            </w:pPr>
            <w:r>
              <w:rPr>
                <w:spacing w:val="-3"/>
              </w:rPr>
              <w:t>生命周期</w:t>
            </w:r>
          </w:p>
        </w:tc>
        <w:tc>
          <w:tcPr>
            <w:tcW w:w="1905" w:type="dxa"/>
            <w:vAlign w:val="top"/>
          </w:tcPr>
          <w:p>
            <w:pPr>
              <w:pStyle w:val="TableText"/>
              <w:ind w:left="722"/>
              <w:spacing w:before="118" w:line="220" w:lineRule="auto"/>
              <w:rPr/>
            </w:pPr>
            <w:r>
              <w:rPr>
                <w:spacing w:val="-6"/>
              </w:rPr>
              <w:t>单位</w:t>
            </w:r>
          </w:p>
        </w:tc>
        <w:tc>
          <w:tcPr>
            <w:tcW w:w="1984" w:type="dxa"/>
            <w:vAlign w:val="top"/>
          </w:tcPr>
          <w:p>
            <w:pPr>
              <w:pStyle w:val="TableText"/>
              <w:ind w:left="517"/>
              <w:spacing w:before="118" w:line="220" w:lineRule="auto"/>
              <w:rPr/>
            </w:pPr>
            <w:r>
              <w:rPr>
                <w:spacing w:val="-3"/>
              </w:rPr>
              <w:t>碳排放量</w:t>
            </w:r>
          </w:p>
        </w:tc>
      </w:tr>
      <w:tr>
        <w:trPr>
          <w:trHeight w:val="472" w:hRule="atLeast"/>
        </w:trPr>
        <w:tc>
          <w:tcPr>
            <w:tcW w:w="1688" w:type="dxa"/>
            <w:vAlign w:val="top"/>
          </w:tcPr>
          <w:p>
            <w:pPr>
              <w:ind w:left="810"/>
              <w:spacing w:before="15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2770" w:type="dxa"/>
            <w:vAlign w:val="top"/>
          </w:tcPr>
          <w:p>
            <w:pPr>
              <w:pStyle w:val="TableText"/>
              <w:ind w:left="556"/>
              <w:spacing w:before="117" w:line="219" w:lineRule="auto"/>
              <w:rPr/>
            </w:pPr>
            <w:r>
              <w:rPr>
                <w:spacing w:val="-3"/>
              </w:rPr>
              <w:t>原材料获取阶段</w:t>
            </w:r>
          </w:p>
        </w:tc>
        <w:tc>
          <w:tcPr>
            <w:tcW w:w="1905" w:type="dxa"/>
            <w:vAlign w:val="top"/>
          </w:tcPr>
          <w:p>
            <w:pPr>
              <w:ind w:left="626"/>
              <w:spacing w:before="152" w:line="192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kgCO</w:t>
            </w: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  <w:position w:val="-1"/>
              </w:rPr>
              <w:t>2</w:t>
            </w:r>
          </w:p>
        </w:tc>
        <w:tc>
          <w:tcPr>
            <w:tcW w:w="1984" w:type="dxa"/>
            <w:vAlign w:val="top"/>
          </w:tcPr>
          <w:p>
            <w:pPr>
              <w:ind w:left="807"/>
              <w:spacing w:before="156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1.07</w:t>
            </w:r>
          </w:p>
        </w:tc>
      </w:tr>
      <w:tr>
        <w:trPr>
          <w:trHeight w:val="472" w:hRule="atLeast"/>
        </w:trPr>
        <w:tc>
          <w:tcPr>
            <w:tcW w:w="1688" w:type="dxa"/>
            <w:vAlign w:val="top"/>
          </w:tcPr>
          <w:p>
            <w:pPr>
              <w:ind w:left="787"/>
              <w:spacing w:before="15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770" w:type="dxa"/>
            <w:vAlign w:val="top"/>
          </w:tcPr>
          <w:p>
            <w:pPr>
              <w:pStyle w:val="TableText"/>
              <w:ind w:left="670"/>
              <w:spacing w:before="118" w:line="219" w:lineRule="auto"/>
              <w:rPr/>
            </w:pPr>
            <w:r>
              <w:rPr>
                <w:spacing w:val="-2"/>
              </w:rPr>
              <w:t>产品生产阶段</w:t>
            </w:r>
          </w:p>
        </w:tc>
        <w:tc>
          <w:tcPr>
            <w:tcW w:w="1905" w:type="dxa"/>
            <w:vAlign w:val="top"/>
          </w:tcPr>
          <w:p>
            <w:pPr>
              <w:ind w:left="626"/>
              <w:spacing w:before="152" w:line="192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kgCO</w:t>
            </w: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  <w:position w:val="-1"/>
              </w:rPr>
              <w:t>2</w:t>
            </w:r>
          </w:p>
        </w:tc>
        <w:tc>
          <w:tcPr>
            <w:tcW w:w="1984" w:type="dxa"/>
            <w:vAlign w:val="top"/>
          </w:tcPr>
          <w:p>
            <w:pPr>
              <w:ind w:left="787"/>
              <w:spacing w:before="15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0.31</w:t>
            </w:r>
          </w:p>
        </w:tc>
      </w:tr>
      <w:tr>
        <w:trPr>
          <w:trHeight w:val="476" w:hRule="atLeast"/>
        </w:trPr>
        <w:tc>
          <w:tcPr>
            <w:tcW w:w="4458" w:type="dxa"/>
            <w:vAlign w:val="top"/>
            <w:gridSpan w:val="2"/>
          </w:tcPr>
          <w:p>
            <w:pPr>
              <w:pStyle w:val="TableText"/>
              <w:ind w:left="1876"/>
              <w:spacing w:before="118" w:line="220" w:lineRule="auto"/>
              <w:rPr/>
            </w:pPr>
            <w:r>
              <w:rPr>
                <w:spacing w:val="-4"/>
              </w:rPr>
              <w:t>碳足迹</w:t>
            </w:r>
          </w:p>
        </w:tc>
        <w:tc>
          <w:tcPr>
            <w:tcW w:w="1905" w:type="dxa"/>
            <w:vAlign w:val="top"/>
          </w:tcPr>
          <w:p>
            <w:pPr>
              <w:ind w:left="626"/>
              <w:spacing w:before="155" w:line="192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kgCO</w:t>
            </w: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  <w:position w:val="-1"/>
              </w:rPr>
              <w:t>2</w:t>
            </w:r>
          </w:p>
        </w:tc>
        <w:tc>
          <w:tcPr>
            <w:tcW w:w="1984" w:type="dxa"/>
            <w:vAlign w:val="top"/>
          </w:tcPr>
          <w:p>
            <w:pPr>
              <w:ind w:left="807"/>
              <w:spacing w:before="16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1.38</w:t>
            </w:r>
          </w:p>
        </w:tc>
      </w:tr>
    </w:tbl>
    <w:p>
      <w:pPr>
        <w:spacing w:line="298" w:lineRule="auto"/>
        <w:rPr>
          <w:rFonts w:ascii="Arial"/>
          <w:sz w:val="21"/>
        </w:rPr>
      </w:pPr>
      <w:r/>
    </w:p>
    <w:p>
      <w:pPr>
        <w:pStyle w:val="BodyText"/>
        <w:ind w:left="24" w:right="75" w:hanging="2"/>
        <w:spacing w:before="65" w:line="273" w:lineRule="auto"/>
        <w:rPr>
          <w:sz w:val="20"/>
          <w:szCs w:val="20"/>
        </w:rPr>
      </w:pPr>
      <w:r>
        <w:rPr>
          <w:sz w:val="20"/>
          <w:szCs w:val="20"/>
          <w:spacing w:val="9"/>
        </w:rPr>
        <w:t>注：依据《</w:t>
      </w:r>
      <w:r>
        <w:rPr>
          <w:rFonts w:ascii="Times New Roman" w:hAnsi="Times New Roman" w:eastAsia="Times New Roman" w:cs="Times New Roman"/>
          <w:sz w:val="20"/>
          <w:szCs w:val="20"/>
        </w:rPr>
        <w:t>ISO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>/</w:t>
      </w:r>
      <w:r>
        <w:rPr>
          <w:rFonts w:ascii="Times New Roman" w:hAnsi="Times New Roman" w:eastAsia="Times New Roman" w:cs="Times New Roman"/>
          <w:sz w:val="20"/>
          <w:szCs w:val="20"/>
        </w:rPr>
        <w:t>TS</w:t>
      </w:r>
      <w:r>
        <w:rPr>
          <w:rFonts w:ascii="Times New Roman" w:hAnsi="Times New Roman" w:eastAsia="Times New Roman" w:cs="Times New Roman"/>
          <w:sz w:val="20"/>
          <w:szCs w:val="20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>14067</w:t>
      </w:r>
      <w:r>
        <w:rPr>
          <w:sz w:val="20"/>
          <w:szCs w:val="20"/>
          <w:spacing w:val="9"/>
        </w:rPr>
        <w:t>：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>2018  </w:t>
      </w:r>
      <w:r>
        <w:rPr>
          <w:sz w:val="20"/>
          <w:szCs w:val="20"/>
          <w:spacing w:val="9"/>
        </w:rPr>
        <w:t>温室气体——产品碳足迹——量化和信息交流的要求与指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9"/>
        </w:rPr>
        <w:t>南》，企业生产的产品在生命末期阶段通过回收处理方式。</w:t>
      </w:r>
    </w:p>
    <w:p>
      <w:pPr>
        <w:spacing w:line="411" w:lineRule="auto"/>
        <w:rPr>
          <w:rFonts w:ascii="Arial"/>
          <w:sz w:val="21"/>
        </w:rPr>
      </w:pPr>
      <w:r/>
    </w:p>
    <w:p>
      <w:pPr>
        <w:pStyle w:val="BodyText"/>
        <w:ind w:left="586"/>
        <w:spacing w:before="92" w:line="221" w:lineRule="auto"/>
        <w:rPr/>
      </w:pPr>
      <w:r>
        <w:rPr>
          <w:rFonts w:ascii="Times New Roman" w:hAnsi="Times New Roman" w:eastAsia="Times New Roman" w:cs="Times New Roman"/>
          <w:spacing w:val="-1"/>
        </w:rPr>
        <w:t>5.3.4 </w:t>
      </w:r>
      <w:r>
        <w:rPr>
          <w:spacing w:val="-1"/>
        </w:rPr>
        <w:t>不确定性分析</w:t>
      </w:r>
    </w:p>
    <w:p>
      <w:pPr>
        <w:pStyle w:val="BodyText"/>
        <w:ind w:left="22" w:right="72" w:firstLine="565"/>
        <w:spacing w:before="208" w:line="350" w:lineRule="auto"/>
        <w:rPr/>
      </w:pPr>
      <w:r>
        <w:rPr>
          <w:spacing w:val="-4"/>
        </w:rPr>
        <w:t>不确定性的主要来源为初级数据存在测量误差和计算误差，减少</w:t>
      </w:r>
      <w:r>
        <w:rPr>
          <w:spacing w:val="2"/>
        </w:rPr>
        <w:t xml:space="preserve"> </w:t>
      </w:r>
      <w:r>
        <w:rPr>
          <w:spacing w:val="-4"/>
        </w:rPr>
        <w:t>不确定性的方法主要有，使用准确率较高的初级数据，对每一道工序</w:t>
      </w:r>
      <w:r>
        <w:rPr>
          <w:spacing w:val="16"/>
        </w:rPr>
        <w:t xml:space="preserve"> </w:t>
      </w:r>
      <w:r>
        <w:rPr>
          <w:spacing w:val="-1"/>
        </w:rPr>
        <w:t>进行能源消耗的跟踪监测，提高初级数据的准确性。</w:t>
      </w:r>
    </w:p>
    <w:p>
      <w:pPr>
        <w:pStyle w:val="BodyText"/>
        <w:ind w:left="586"/>
        <w:spacing w:before="41" w:line="220" w:lineRule="auto"/>
        <w:rPr/>
      </w:pPr>
      <w:r>
        <w:rPr>
          <w:rFonts w:ascii="Times New Roman" w:hAnsi="Times New Roman" w:eastAsia="Times New Roman" w:cs="Times New Roman"/>
          <w:spacing w:val="-4"/>
        </w:rPr>
        <w:t>5.3.5</w:t>
      </w:r>
      <w:r>
        <w:rPr>
          <w:rFonts w:ascii="Times New Roman" w:hAnsi="Times New Roman" w:eastAsia="Times New Roman" w:cs="Times New Roman"/>
          <w:spacing w:val="23"/>
          <w:w w:val="101"/>
        </w:rPr>
        <w:t xml:space="preserve"> </w:t>
      </w:r>
      <w:r>
        <w:rPr>
          <w:spacing w:val="-4"/>
        </w:rPr>
        <w:t>结果说明</w:t>
      </w:r>
    </w:p>
    <w:p>
      <w:pPr>
        <w:pStyle w:val="BodyText"/>
        <w:ind w:left="28" w:right="73" w:firstLine="577"/>
        <w:spacing w:before="211" w:line="286" w:lineRule="auto"/>
        <w:rPr/>
      </w:pPr>
      <w:r>
        <w:rPr>
          <w:rFonts w:ascii="Times New Roman" w:hAnsi="Times New Roman" w:eastAsia="Times New Roman" w:cs="Times New Roman"/>
          <w:spacing w:val="-3"/>
        </w:rPr>
        <w:t>1 </w:t>
      </w:r>
      <w:r>
        <w:rPr>
          <w:spacing w:val="-3"/>
        </w:rPr>
        <w:t>片</w:t>
      </w:r>
      <w:r>
        <w:rPr>
          <w:spacing w:val="-34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1kg </w:t>
      </w:r>
      <w:r>
        <w:rPr>
          <w:spacing w:val="-3"/>
        </w:rPr>
        <w:t>塑料类回收物从原材料获取到生命末期生命周期碳足迹</w:t>
      </w:r>
      <w:r>
        <w:rPr/>
        <w:t xml:space="preserve"> </w:t>
      </w:r>
      <w:r>
        <w:rPr>
          <w:spacing w:val="-4"/>
        </w:rPr>
        <w:t>为</w:t>
      </w:r>
      <w:r>
        <w:rPr>
          <w:spacing w:val="-35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1.38kgCO2e</w:t>
      </w:r>
      <w:r>
        <w:rPr>
          <w:spacing w:val="-4"/>
        </w:rPr>
        <w:t>。</w:t>
      </w:r>
    </w:p>
    <w:p>
      <w:pPr>
        <w:spacing w:line="286" w:lineRule="auto"/>
        <w:sectPr>
          <w:footerReference w:type="default" r:id="rId15"/>
          <w:pgSz w:w="11906" w:h="16839"/>
          <w:pgMar w:top="400" w:right="1726" w:bottom="1157" w:left="1785" w:header="0" w:footer="992" w:gutter="0"/>
        </w:sectPr>
        <w:rPr/>
      </w:pP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36"/>
        <w:spacing w:before="101" w:line="227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</w:rPr>
        <w:t>六、评价结果解释</w:t>
      </w:r>
    </w:p>
    <w:p>
      <w:pPr>
        <w:pStyle w:val="BodyText"/>
        <w:ind w:left="585"/>
        <w:spacing w:before="233" w:line="219" w:lineRule="auto"/>
        <w:outlineLvl w:val="1"/>
        <w:rPr/>
      </w:pPr>
      <w:r>
        <w:rPr>
          <w:rFonts w:ascii="Times New Roman" w:hAnsi="Times New Roman" w:eastAsia="Times New Roman" w:cs="Times New Roman"/>
          <w:spacing w:val="-2"/>
        </w:rPr>
        <w:t>6.1 </w:t>
      </w:r>
      <w:r>
        <w:rPr>
          <w:spacing w:val="-2"/>
        </w:rPr>
        <w:t>评价结论</w:t>
      </w:r>
    </w:p>
    <w:p>
      <w:pPr>
        <w:pStyle w:val="BodyText"/>
        <w:ind w:left="32" w:right="13" w:firstLine="565"/>
        <w:spacing w:before="212" w:line="333" w:lineRule="auto"/>
        <w:rPr/>
      </w:pPr>
      <w:r>
        <w:rPr>
          <w:spacing w:val="-5"/>
        </w:rPr>
        <w:t>哈尔滨群勤环保科技有限公司生产的</w:t>
      </w:r>
      <w:r>
        <w:rPr>
          <w:spacing w:val="-37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1kg </w:t>
      </w:r>
      <w:r>
        <w:rPr>
          <w:spacing w:val="-5"/>
        </w:rPr>
        <w:t>塑料类回收物，从</w:t>
      </w:r>
      <w:r>
        <w:rPr>
          <w:spacing w:val="-6"/>
        </w:rPr>
        <w:t>摇篮</w:t>
      </w:r>
      <w:r>
        <w:rPr/>
        <w:t xml:space="preserve"> </w:t>
      </w:r>
      <w:r>
        <w:rPr>
          <w:spacing w:val="-2"/>
        </w:rPr>
        <w:t>到大门的此生命周期碳足迹为</w:t>
      </w:r>
      <w:r>
        <w:rPr>
          <w:spacing w:val="-37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1.38kg</w:t>
      </w:r>
      <w:r>
        <w:rPr>
          <w:rFonts w:ascii="Times New Roman" w:hAnsi="Times New Roman" w:eastAsia="Times New Roman" w:cs="Times New Roman"/>
          <w:spacing w:val="-3"/>
        </w:rPr>
        <w:t>CO</w:t>
      </w:r>
      <w:r>
        <w:rPr>
          <w:rFonts w:ascii="Times New Roman" w:hAnsi="Times New Roman" w:eastAsia="Times New Roman" w:cs="Times New Roman"/>
          <w:sz w:val="18"/>
          <w:szCs w:val="18"/>
          <w:spacing w:val="-3"/>
        </w:rPr>
        <w:t>2</w:t>
      </w:r>
      <w:r>
        <w:rPr>
          <w:rFonts w:ascii="Times New Roman" w:hAnsi="Times New Roman" w:eastAsia="Times New Roman" w:cs="Times New Roman"/>
          <w:spacing w:val="-3"/>
        </w:rPr>
        <w:t>e</w:t>
      </w:r>
      <w:r>
        <w:rPr>
          <w:spacing w:val="-3"/>
        </w:rPr>
        <w:t>。</w:t>
      </w:r>
    </w:p>
    <w:p>
      <w:pPr>
        <w:pStyle w:val="BodyText"/>
        <w:ind w:left="585"/>
        <w:spacing w:before="78" w:line="219" w:lineRule="auto"/>
        <w:outlineLvl w:val="1"/>
        <w:rPr/>
      </w:pPr>
      <w:r>
        <w:rPr>
          <w:rFonts w:ascii="Times New Roman" w:hAnsi="Times New Roman" w:eastAsia="Times New Roman" w:cs="Times New Roman"/>
          <w:spacing w:val="-2"/>
        </w:rPr>
        <w:t>6.2 </w:t>
      </w:r>
      <w:r>
        <w:rPr>
          <w:spacing w:val="-2"/>
        </w:rPr>
        <w:t>假设和局限性</w:t>
      </w:r>
    </w:p>
    <w:p>
      <w:pPr>
        <w:pStyle w:val="BodyText"/>
        <w:ind w:left="23" w:right="13" w:firstLine="561"/>
        <w:spacing w:before="211" w:line="356" w:lineRule="auto"/>
        <w:rPr/>
      </w:pPr>
      <w:r>
        <w:rPr>
          <w:spacing w:val="4"/>
        </w:rPr>
        <w:t>本次评价报告的实景数据中</w:t>
      </w:r>
      <w:r>
        <w:rPr>
          <w:spacing w:val="-22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1</w:t>
      </w:r>
      <w:r>
        <w:rPr>
          <w:rFonts w:ascii="Times New Roman" w:hAnsi="Times New Roman" w:eastAsia="Times New Roman" w:cs="Times New Roman"/>
        </w:rPr>
        <w:t>kg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rPr>
          <w:spacing w:val="4"/>
        </w:rPr>
        <w:t>塑料类回收物的生产过程数据</w:t>
      </w:r>
      <w:r>
        <w:rPr/>
        <w:t xml:space="preserve"> </w:t>
      </w:r>
      <w:r>
        <w:rPr>
          <w:spacing w:val="1"/>
        </w:rPr>
        <w:t>来源于企业调研数据，背景数据来自</w:t>
      </w:r>
      <w:r>
        <w:rPr>
          <w:rFonts w:ascii="Times New Roman" w:hAnsi="Times New Roman" w:eastAsia="Times New Roman" w:cs="Times New Roman"/>
        </w:rPr>
        <w:t>IPCC</w:t>
      </w:r>
      <w:r>
        <w:rPr>
          <w:rFonts w:ascii="Times New Roman" w:hAnsi="Times New Roman" w:eastAsia="Times New Roman" w:cs="Times New Roman"/>
          <w:spacing w:val="1"/>
        </w:rPr>
        <w:t xml:space="preserve"> </w:t>
      </w:r>
      <w:r>
        <w:rPr>
          <w:spacing w:val="1"/>
        </w:rPr>
        <w:t>数据库、中国产品全生命</w:t>
      </w:r>
      <w:r>
        <w:rPr>
          <w:spacing w:val="15"/>
        </w:rPr>
        <w:t xml:space="preserve"> </w:t>
      </w:r>
      <w:r>
        <w:rPr/>
        <w:t>周期温室气体排放系数集（</w:t>
      </w:r>
      <w:r>
        <w:rPr>
          <w:rFonts w:ascii="Times New Roman" w:hAnsi="Times New Roman" w:eastAsia="Times New Roman" w:cs="Times New Roman"/>
        </w:rPr>
        <w:t>2022</w:t>
      </w:r>
      <w:r>
        <w:rPr/>
        <w:t>）、中国生命</w:t>
      </w:r>
      <w:r>
        <w:rPr>
          <w:spacing w:val="-1"/>
        </w:rPr>
        <w:t>基础数据库（</w:t>
      </w:r>
      <w:r>
        <w:rPr>
          <w:rFonts w:ascii="Times New Roman" w:hAnsi="Times New Roman" w:eastAsia="Times New Roman" w:cs="Times New Roman"/>
          <w:spacing w:val="-1"/>
        </w:rPr>
        <w:t>CLCD</w:t>
      </w:r>
      <w:r>
        <w:rPr>
          <w:spacing w:val="-1"/>
        </w:rPr>
        <w:t>）</w:t>
      </w:r>
      <w:r>
        <w:rPr/>
        <w:t xml:space="preserve"> </w:t>
      </w:r>
      <w:r>
        <w:rPr>
          <w:spacing w:val="-2"/>
        </w:rPr>
        <w:t>和瑞士的</w:t>
      </w:r>
      <w:r>
        <w:rPr>
          <w:spacing w:val="-48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Ecoinvent  </w:t>
      </w:r>
      <w:r>
        <w:rPr>
          <w:spacing w:val="-2"/>
        </w:rPr>
        <w:t>数据库等，部分原料生产过程的数据采用文献数</w:t>
      </w:r>
      <w:r>
        <w:rPr/>
        <w:t xml:space="preserve"> </w:t>
      </w:r>
      <w:r>
        <w:rPr>
          <w:spacing w:val="-4"/>
        </w:rPr>
        <w:t>据。受项目调研时间及供应链管控力度限制，未调查重要原料的实际</w:t>
      </w:r>
      <w:r>
        <w:rPr>
          <w:spacing w:val="15"/>
        </w:rPr>
        <w:t xml:space="preserve"> </w:t>
      </w:r>
      <w:r>
        <w:rPr>
          <w:spacing w:val="-4"/>
        </w:rPr>
        <w:t>生产过程，计算结果与实际供应链的环境表现有一定偏差；建议在调</w:t>
      </w:r>
      <w:r>
        <w:rPr>
          <w:spacing w:val="15"/>
        </w:rPr>
        <w:t xml:space="preserve"> </w:t>
      </w:r>
      <w:r>
        <w:rPr>
          <w:spacing w:val="-4"/>
        </w:rPr>
        <w:t>研时间和数据可得的情况下，进一步调研主要外购原材料的生产过程</w:t>
      </w:r>
      <w:r>
        <w:rPr>
          <w:spacing w:val="15"/>
        </w:rPr>
        <w:t xml:space="preserve"> </w:t>
      </w:r>
      <w:r>
        <w:rPr>
          <w:spacing w:val="-4"/>
        </w:rPr>
        <w:t>数据，有助于提高数据质量，为企业在供应链上推动协同改进提供数</w:t>
      </w:r>
      <w:r>
        <w:rPr>
          <w:spacing w:val="15"/>
        </w:rPr>
        <w:t xml:space="preserve"> </w:t>
      </w:r>
      <w:r>
        <w:rPr>
          <w:spacing w:val="-3"/>
        </w:rPr>
        <w:t>据支持。</w:t>
      </w:r>
    </w:p>
    <w:p>
      <w:pPr>
        <w:ind w:left="25"/>
        <w:spacing w:before="54" w:line="226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</w:rPr>
        <w:t>七、碳足迹改善计划</w:t>
      </w:r>
    </w:p>
    <w:p>
      <w:pPr>
        <w:pStyle w:val="BodyText"/>
        <w:ind w:left="25" w:right="13" w:firstLine="559"/>
        <w:spacing w:before="234" w:line="346" w:lineRule="auto"/>
        <w:rPr/>
      </w:pPr>
      <w:r>
        <w:rPr>
          <w:spacing w:val="-4"/>
        </w:rPr>
        <w:t>根据产品碳足迹计算结果及对比各阶段碳排放情况，制定如下碳</w:t>
      </w:r>
      <w:r>
        <w:rPr>
          <w:spacing w:val="7"/>
        </w:rPr>
        <w:t xml:space="preserve"> </w:t>
      </w:r>
      <w:r>
        <w:rPr>
          <w:spacing w:val="-2"/>
        </w:rPr>
        <w:t>减排措施：</w:t>
      </w:r>
    </w:p>
    <w:p>
      <w:pPr>
        <w:pStyle w:val="BodyText"/>
        <w:ind w:left="25" w:right="13" w:firstLine="567"/>
        <w:spacing w:before="38" w:line="325" w:lineRule="auto"/>
        <w:rPr/>
      </w:pPr>
      <w:r>
        <w:rPr>
          <w:spacing w:val="1"/>
        </w:rPr>
        <w:t>（</w:t>
      </w:r>
      <w:r>
        <w:rPr>
          <w:rFonts w:ascii="Times New Roman" w:hAnsi="Times New Roman" w:eastAsia="Times New Roman" w:cs="Times New Roman"/>
          <w:spacing w:val="1"/>
        </w:rPr>
        <w:t>1</w:t>
      </w:r>
      <w:r>
        <w:rPr>
          <w:spacing w:val="1"/>
        </w:rPr>
        <w:t>）充分考虑实施绿色采购，就近采购，减少运输排放。同时</w:t>
      </w:r>
      <w:r>
        <w:rPr/>
        <w:t xml:space="preserve"> </w:t>
      </w:r>
      <w:r>
        <w:rPr>
          <w:spacing w:val="-4"/>
        </w:rPr>
        <w:t>加强对上游原材料供应商的优选，选择技术工艺水平先进，单位产品</w:t>
      </w:r>
      <w:r>
        <w:rPr>
          <w:spacing w:val="14"/>
        </w:rPr>
        <w:t xml:space="preserve"> </w:t>
      </w:r>
      <w:r>
        <w:rPr>
          <w:spacing w:val="-4"/>
        </w:rPr>
        <w:t>综合能耗低，碳排放水平高的供应商，从而减少上游阶段产生的间接</w:t>
      </w:r>
      <w:r>
        <w:rPr>
          <w:spacing w:val="14"/>
        </w:rPr>
        <w:t xml:space="preserve"> </w:t>
      </w:r>
      <w:r>
        <w:rPr>
          <w:spacing w:val="-3"/>
        </w:rPr>
        <w:t>排放量。</w:t>
      </w:r>
    </w:p>
    <w:p>
      <w:pPr>
        <w:pStyle w:val="BodyText"/>
        <w:ind w:left="22" w:right="13" w:firstLine="569"/>
        <w:spacing w:before="211" w:line="324" w:lineRule="auto"/>
        <w:rPr/>
      </w:pPr>
      <w:r>
        <w:rPr>
          <w:spacing w:val="1"/>
        </w:rPr>
        <w:t>（</w:t>
      </w:r>
      <w:r>
        <w:rPr>
          <w:rFonts w:ascii="Times New Roman" w:hAnsi="Times New Roman" w:eastAsia="Times New Roman" w:cs="Times New Roman"/>
          <w:spacing w:val="1"/>
        </w:rPr>
        <w:t>2</w:t>
      </w:r>
      <w:r>
        <w:rPr>
          <w:spacing w:val="1"/>
        </w:rPr>
        <w:t>）加强塑料类回收物产品生产过程管控，注重节能减排，推</w:t>
      </w:r>
      <w:r>
        <w:rPr/>
        <w:t xml:space="preserve"> </w:t>
      </w:r>
      <w:r>
        <w:rPr>
          <w:spacing w:val="1"/>
        </w:rPr>
        <w:t>进生产 设备改造和技术升级，减少生产过程中的电力等能源消耗，</w:t>
      </w:r>
      <w:r>
        <w:rPr>
          <w:spacing w:val="6"/>
        </w:rPr>
        <w:t xml:space="preserve"> </w:t>
      </w:r>
      <w:r>
        <w:rPr>
          <w:spacing w:val="1"/>
        </w:rPr>
        <w:t>提高 能源利用率，条件适宜时选择更清洁的绿色能源，以降低产品</w:t>
      </w:r>
      <w:r>
        <w:rPr>
          <w:spacing w:val="6"/>
        </w:rPr>
        <w:t xml:space="preserve"> </w:t>
      </w:r>
      <w:r>
        <w:rPr>
          <w:spacing w:val="-1"/>
        </w:rPr>
        <w:t>生产过程中的温室气体排放量。</w:t>
      </w:r>
    </w:p>
    <w:p>
      <w:pPr>
        <w:spacing w:line="324" w:lineRule="auto"/>
        <w:sectPr>
          <w:footerReference w:type="default" r:id="rId17"/>
          <w:pgSz w:w="11906" w:h="16839"/>
          <w:pgMar w:top="400" w:right="1785" w:bottom="1156" w:left="1785" w:header="0" w:footer="991" w:gutter="0"/>
        </w:sectPr>
        <w:rPr/>
      </w:pP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spacing w:before="91" w:line="220" w:lineRule="auto"/>
        <w:jc w:val="right"/>
        <w:rPr/>
      </w:pPr>
      <w:r>
        <w:rPr>
          <w:spacing w:val="-5"/>
        </w:rPr>
        <w:t>（</w:t>
      </w:r>
      <w:r>
        <w:rPr>
          <w:rFonts w:ascii="Times New Roman" w:hAnsi="Times New Roman" w:eastAsia="Times New Roman" w:cs="Times New Roman"/>
          <w:spacing w:val="-5"/>
        </w:rPr>
        <w:t>3</w:t>
      </w:r>
      <w:r>
        <w:rPr>
          <w:spacing w:val="-5"/>
        </w:rPr>
        <w:t>）优化产品运输方案，推进可持续运输</w:t>
      </w:r>
      <w:r>
        <w:rPr>
          <w:spacing w:val="-6"/>
        </w:rPr>
        <w:t>，减少运输能源消耗。</w:t>
      </w:r>
    </w:p>
    <w:p>
      <w:pPr>
        <w:pStyle w:val="BodyText"/>
        <w:ind w:left="592"/>
        <w:spacing w:before="211" w:line="220" w:lineRule="auto"/>
        <w:rPr/>
      </w:pPr>
      <w:r>
        <w:rPr>
          <w:spacing w:val="-2"/>
        </w:rPr>
        <w:t>（</w:t>
      </w:r>
      <w:r>
        <w:rPr>
          <w:rFonts w:ascii="Times New Roman" w:hAnsi="Times New Roman" w:eastAsia="Times New Roman" w:cs="Times New Roman"/>
          <w:spacing w:val="-2"/>
        </w:rPr>
        <w:t>4</w:t>
      </w:r>
      <w:r>
        <w:rPr>
          <w:spacing w:val="-2"/>
        </w:rPr>
        <w:t>）加大管理力度，细化节能措施。</w:t>
      </w:r>
    </w:p>
    <w:p>
      <w:pPr>
        <w:pStyle w:val="BodyText"/>
        <w:ind w:left="23" w:right="97" w:firstLine="561"/>
        <w:spacing w:before="212" w:line="350" w:lineRule="auto"/>
        <w:jc w:val="both"/>
        <w:rPr/>
      </w:pPr>
      <w:r>
        <w:rPr>
          <w:spacing w:val="-4"/>
        </w:rPr>
        <w:t>提高所有员工的节能降耗意识，落实节能降耗负责人，监管和监</w:t>
      </w:r>
      <w:r>
        <w:rPr>
          <w:spacing w:val="6"/>
        </w:rPr>
        <w:t xml:space="preserve"> </w:t>
      </w:r>
      <w:r>
        <w:rPr>
          <w:spacing w:val="-4"/>
        </w:rPr>
        <w:t>督能源的合理使用，对主要用能设备安装计量工具，分析能源消耗数</w:t>
      </w:r>
      <w:r>
        <w:rPr>
          <w:spacing w:val="15"/>
        </w:rPr>
        <w:t xml:space="preserve"> </w:t>
      </w:r>
      <w:r>
        <w:rPr>
          <w:spacing w:val="-1"/>
        </w:rPr>
        <w:t>据，制定节能降耗目标。</w:t>
      </w:r>
    </w:p>
    <w:p>
      <w:pPr>
        <w:ind w:left="26"/>
        <w:spacing w:before="48" w:line="228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</w:rPr>
        <w:t>八、结语</w:t>
      </w:r>
    </w:p>
    <w:p>
      <w:pPr>
        <w:pStyle w:val="BodyText"/>
        <w:ind w:left="25" w:right="45" w:firstLine="561"/>
        <w:spacing w:before="228" w:line="353" w:lineRule="auto"/>
        <w:jc w:val="both"/>
        <w:rPr/>
      </w:pPr>
      <w:r>
        <w:rPr>
          <w:spacing w:val="-4"/>
        </w:rPr>
        <w:t>绿色低碳发展是企业未来生存和发展的必然选择，企业进行产品</w:t>
      </w:r>
      <w:r>
        <w:rPr>
          <w:spacing w:val="5"/>
        </w:rPr>
        <w:t xml:space="preserve"> </w:t>
      </w:r>
      <w:r>
        <w:rPr>
          <w:spacing w:val="-4"/>
        </w:rPr>
        <w:t>碳足迹的核算是企业实现温室气体管理，制定绿色低碳发展战略的第</w:t>
      </w:r>
      <w:r>
        <w:rPr>
          <w:spacing w:val="14"/>
        </w:rPr>
        <w:t xml:space="preserve"> </w:t>
      </w:r>
      <w:r>
        <w:rPr>
          <w:spacing w:val="-4"/>
        </w:rPr>
        <w:t>一步，通过产品生命周期的碳足迹核算，企业可以了解排放源、明确</w:t>
      </w:r>
      <w:r>
        <w:rPr>
          <w:spacing w:val="14"/>
        </w:rPr>
        <w:t xml:space="preserve"> </w:t>
      </w:r>
      <w:r>
        <w:rPr>
          <w:spacing w:val="-2"/>
        </w:rPr>
        <w:t>各生产环节的排放量，为制定合理的减排目标和发展战略打下基础。</w:t>
      </w:r>
    </w:p>
    <w:sectPr>
      <w:footerReference w:type="default" r:id="rId6"/>
      <w:pgSz w:w="11906" w:h="16839"/>
      <w:pgMar w:top="400" w:right="1701" w:bottom="1157" w:left="1785" w:header="0" w:footer="991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5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1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0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2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3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4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4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67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5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6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27"/>
      <w:spacing w:line="167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7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26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8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7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9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5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1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8"/>
      <w:szCs w:val="28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image" Target="media/image2.jpeg"/><Relationship Id="rId3" Type="http://schemas.openxmlformats.org/officeDocument/2006/relationships/image" Target="media/image1.jpeg"/><Relationship Id="rId20" Type="http://schemas.openxmlformats.org/officeDocument/2006/relationships/fontTable" Target="fontTable.xml"/><Relationship Id="rId2" Type="http://schemas.openxmlformats.org/officeDocument/2006/relationships/footer" Target="footer1.xml"/><Relationship Id="rId19" Type="http://schemas.openxmlformats.org/officeDocument/2006/relationships/styles" Target="styles.xml"/><Relationship Id="rId18" Type="http://schemas.openxmlformats.org/officeDocument/2006/relationships/settings" Target="settings.xml"/><Relationship Id="rId17" Type="http://schemas.openxmlformats.org/officeDocument/2006/relationships/footer" Target="footer11.xml"/><Relationship Id="rId16" Type="http://schemas.openxmlformats.org/officeDocument/2006/relationships/hyperlink" Target="5.3.2.3" TargetMode="External"/><Relationship Id="rId15" Type="http://schemas.openxmlformats.org/officeDocument/2006/relationships/footer" Target="footer10.xml"/><Relationship Id="rId14" Type="http://schemas.openxmlformats.org/officeDocument/2006/relationships/hyperlink" Target="5.3.2.2" TargetMode="External"/><Relationship Id="rId13" Type="http://schemas.openxmlformats.org/officeDocument/2006/relationships/hyperlink" Target="5.3.2.1" TargetMode="Externa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简单...YJ</dc:creator>
  <dcterms:created xsi:type="dcterms:W3CDTF">2024-09-02T14:35:37Z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2024-09-03T15:23:39</vt:filetime>
  </property>
</Properties>
</file>