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ind w:left="102"/>
        <w:spacing w:before="187" w:line="206" w:lineRule="auto"/>
        <w:outlineLvl w:val="0"/>
        <w:rPr>
          <w:rFonts w:ascii="SimHei" w:hAnsi="SimHei" w:eastAsia="SimHei" w:cs="SimHei"/>
          <w:sz w:val="55"/>
          <w:szCs w:val="55"/>
        </w:rPr>
      </w:pPr>
      <w:r>
        <w:rPr>
          <w:rFonts w:ascii="Times New Roman" w:hAnsi="Times New Roman" w:eastAsia="Times New Roman" w:cs="Times New Roman"/>
          <w:sz w:val="65"/>
          <w:szCs w:val="65"/>
          <w:b/>
          <w:bCs/>
          <w:spacing w:val="-7"/>
        </w:rPr>
        <w:t>2023</w:t>
      </w:r>
      <w:r>
        <w:rPr>
          <w:rFonts w:ascii="Times New Roman" w:hAnsi="Times New Roman" w:eastAsia="Times New Roman" w:cs="Times New Roman"/>
          <w:sz w:val="65"/>
          <w:szCs w:val="65"/>
          <w:b/>
          <w:bCs/>
          <w:spacing w:val="4"/>
        </w:rPr>
        <w:t xml:space="preserve">     </w:t>
      </w:r>
      <w:r>
        <w:rPr>
          <w:rFonts w:ascii="SimHei" w:hAnsi="SimHei" w:eastAsia="SimHei" w:cs="SimHei"/>
          <w:sz w:val="55"/>
          <w:szCs w:val="55"/>
          <w:b/>
          <w:bCs/>
          <w:spacing w:val="-7"/>
        </w:rPr>
        <w:t>年度</w:t>
      </w:r>
    </w:p>
    <w:p>
      <w:pPr>
        <w:ind w:left="109"/>
        <w:spacing w:before="177" w:line="221" w:lineRule="auto"/>
        <w:rPr>
          <w:rFonts w:ascii="SimHei" w:hAnsi="SimHei" w:eastAsia="SimHei" w:cs="SimHei"/>
          <w:sz w:val="55"/>
          <w:szCs w:val="55"/>
        </w:rPr>
      </w:pPr>
      <w:r>
        <w:rPr>
          <w:rFonts w:ascii="SimHei" w:hAnsi="SimHei" w:eastAsia="SimHei" w:cs="SimHei"/>
          <w:sz w:val="55"/>
          <w:szCs w:val="55"/>
          <w:b/>
          <w:bCs/>
          <w:spacing w:val="-6"/>
        </w:rPr>
        <w:t>企业社会责任报告</w:t>
      </w:r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ind w:firstLine="9609"/>
        <w:spacing w:line="1942" w:lineRule="exact"/>
        <w:rPr/>
      </w:pPr>
      <w:r>
        <w:rPr>
          <w:position w:val="-38"/>
        </w:rPr>
        <w:drawing>
          <wp:inline distT="0" distB="0" distL="0" distR="0">
            <wp:extent cx="325157" cy="1232870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5157" cy="1232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75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ind w:left="3437" w:right="2991" w:hanging="1430"/>
        <w:spacing w:before="130" w:line="218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:b/>
          <w:bCs/>
          <w:spacing w:val="-11"/>
        </w:rPr>
        <w:t>哈尔滨群勤环保科技有限公司</w:t>
      </w:r>
      <w:r>
        <w:rPr>
          <w:rFonts w:ascii="SimSun" w:hAnsi="SimSun" w:eastAsia="SimSun" w:cs="SimSun"/>
          <w:sz w:val="40"/>
          <w:szCs w:val="40"/>
          <w:spacing w:val="10"/>
        </w:rPr>
        <w:t xml:space="preserve"> </w:t>
      </w:r>
      <w:r>
        <w:rPr>
          <w:rFonts w:ascii="SimSun" w:hAnsi="SimSun" w:eastAsia="SimSun" w:cs="SimSun"/>
          <w:sz w:val="40"/>
          <w:szCs w:val="40"/>
          <w:b/>
          <w:bCs/>
          <w:spacing w:val="32"/>
        </w:rPr>
        <w:t>2023年12月</w:t>
      </w:r>
    </w:p>
    <w:p>
      <w:pPr>
        <w:spacing w:line="218" w:lineRule="auto"/>
        <w:sectPr>
          <w:pgSz w:w="11920" w:h="16400"/>
          <w:pgMar w:top="1393" w:right="10" w:bottom="0" w:left="1788" w:header="0" w:footer="0" w:gutter="0"/>
        </w:sectPr>
        <w:rPr>
          <w:rFonts w:ascii="SimSun" w:hAnsi="SimSun" w:eastAsia="SimSun" w:cs="SimSun"/>
          <w:sz w:val="40"/>
          <w:szCs w:val="40"/>
        </w:rPr>
      </w:pPr>
    </w:p>
    <w:sdt>
      <w:sdtPr>
        <w:rPr>
          <w:rFonts w:ascii="KaiTi" w:hAnsi="KaiTi" w:eastAsia="KaiTi" w:cs="KaiTi"/>
          <w:sz w:val="44"/>
          <w:szCs w:val="44"/>
        </w:rPr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32"/>
          <w:szCs w:val="32"/>
        </w:rPr>
      </w:sdtEndPr>
      <w:sdtContent>
        <w:p>
          <w:pPr>
            <w:ind w:left="4110"/>
            <w:spacing w:before="90" w:line="227" w:lineRule="auto"/>
            <w:rPr>
              <w:rFonts w:ascii="KaiTi" w:hAnsi="KaiTi" w:eastAsia="KaiTi" w:cs="KaiTi"/>
              <w:sz w:val="44"/>
              <w:szCs w:val="44"/>
            </w:rPr>
          </w:pPr>
          <w:bookmarkStart w:name="bookmark1" w:id="1"/>
          <w:bookmarkEnd w:id="1"/>
          <w:r>
            <w:rPr>
              <w:rFonts w:ascii="KaiTi" w:hAnsi="KaiTi" w:eastAsia="KaiTi" w:cs="KaiTi"/>
              <w:sz w:val="44"/>
              <w:szCs w:val="44"/>
              <w:b/>
              <w:bCs/>
              <w:spacing w:val="-72"/>
            </w:rPr>
            <w:t>目</w:t>
          </w:r>
          <w:r>
            <w:rPr>
              <w:rFonts w:ascii="KaiTi" w:hAnsi="KaiTi" w:eastAsia="KaiTi" w:cs="KaiTi"/>
              <w:sz w:val="44"/>
              <w:szCs w:val="44"/>
              <w:spacing w:val="34"/>
            </w:rPr>
            <w:t xml:space="preserve"> </w:t>
          </w:r>
          <w:r>
            <w:rPr>
              <w:rFonts w:ascii="KaiTi" w:hAnsi="KaiTi" w:eastAsia="KaiTi" w:cs="KaiTi"/>
              <w:sz w:val="44"/>
              <w:szCs w:val="44"/>
              <w:b/>
              <w:bCs/>
              <w:spacing w:val="-72"/>
            </w:rPr>
            <w:t>录</w:t>
          </w:r>
        </w:p>
        <w:p>
          <w:pPr>
            <w:ind w:left="659"/>
            <w:spacing w:before="78" w:line="222" w:lineRule="auto"/>
            <w:tabs>
              <w:tab w:val="right" w:leader="dot" w:pos="8267"/>
            </w:tabs>
            <w:rPr>
              <w:rFonts w:ascii="Times New Roman" w:hAnsi="Times New Roman" w:eastAsia="Times New Roman" w:cs="Times New Roman"/>
              <w:sz w:val="32"/>
              <w:szCs w:val="32"/>
            </w:rPr>
          </w:pPr>
          <w:bookmarkStart w:name="bookmark2" w:id="2"/>
          <w:bookmarkEnd w:id="2"/>
          <w:hyperlink w:history="true" w:anchor="bookmark2">
            <w:r>
              <w:rPr>
                <w:rFonts w:ascii="SimHei" w:hAnsi="SimHei" w:eastAsia="SimHei" w:cs="SimHei"/>
                <w:sz w:val="32"/>
                <w:szCs w:val="32"/>
                <w:b/>
                <w:bCs/>
                <w:spacing w:val="-23"/>
              </w:rPr>
              <w:t>前</w:t>
            </w:r>
            <w:r>
              <w:rPr>
                <w:rFonts w:ascii="SimHei" w:hAnsi="SimHei" w:eastAsia="SimHei" w:cs="SimHei"/>
                <w:sz w:val="32"/>
                <w:szCs w:val="32"/>
                <w:spacing w:val="86"/>
              </w:rPr>
              <w:t xml:space="preserve"> </w:t>
            </w:r>
            <w:r>
              <w:rPr>
                <w:rFonts w:ascii="SimHei" w:hAnsi="SimHei" w:eastAsia="SimHei" w:cs="SimHei"/>
                <w:sz w:val="32"/>
                <w:szCs w:val="32"/>
                <w:b/>
                <w:bCs/>
                <w:spacing w:val="-23"/>
              </w:rPr>
              <w:t>言</w:t>
            </w:r>
            <w:r>
              <w:rPr>
                <w:rFonts w:ascii="SimHei" w:hAnsi="SimHei" w:eastAsia="SimHei" w:cs="SimHei"/>
                <w:sz w:val="32"/>
                <w:szCs w:val="32"/>
                <w:b/>
                <w:bCs/>
              </w:rPr>
              <w:tab/>
            </w: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1</w:t>
            </w:r>
          </w:hyperlink>
        </w:p>
        <w:p>
          <w:pPr>
            <w:ind w:left="659"/>
            <w:spacing w:before="212" w:line="221" w:lineRule="auto"/>
            <w:tabs>
              <w:tab w:val="right" w:leader="dot" w:pos="8307"/>
            </w:tabs>
            <w:rPr>
              <w:rFonts w:ascii="Times New Roman" w:hAnsi="Times New Roman" w:eastAsia="Times New Roman" w:cs="Times New Roman"/>
              <w:sz w:val="32"/>
              <w:szCs w:val="32"/>
            </w:rPr>
          </w:pPr>
          <w:bookmarkStart w:name="bookmark1" w:id="3"/>
          <w:bookmarkEnd w:id="3"/>
          <w:hyperlink w:history="true" w:anchor="bookmark1">
            <w:r>
              <w:rPr>
                <w:rFonts w:ascii="SimHei" w:hAnsi="SimHei" w:eastAsia="SimHei" w:cs="SimHei"/>
                <w:sz w:val="32"/>
                <w:szCs w:val="32"/>
                <w:b/>
                <w:bCs/>
                <w:spacing w:val="-29"/>
              </w:rPr>
              <w:t>一</w:t>
            </w:r>
            <w:r>
              <w:rPr>
                <w:rFonts w:ascii="SimHei" w:hAnsi="SimHei" w:eastAsia="SimHei" w:cs="SimHei"/>
                <w:sz w:val="32"/>
                <w:szCs w:val="32"/>
                <w:spacing w:val="-85"/>
              </w:rPr>
              <w:t xml:space="preserve"> </w:t>
            </w:r>
            <w:r>
              <w:rPr>
                <w:rFonts w:ascii="SimHei" w:hAnsi="SimHei" w:eastAsia="SimHei" w:cs="SimHei"/>
                <w:sz w:val="32"/>
                <w:szCs w:val="32"/>
                <w:b/>
                <w:bCs/>
                <w:spacing w:val="-29"/>
              </w:rPr>
              <w:t>、公司概况</w:t>
            </w:r>
            <w:r>
              <w:rPr>
                <w:rFonts w:ascii="SimHei" w:hAnsi="SimHei" w:eastAsia="SimHei" w:cs="SimHei"/>
                <w:sz w:val="32"/>
                <w:szCs w:val="32"/>
                <w:spacing w:val="-137"/>
              </w:rPr>
              <w:t xml:space="preserve"> </w:t>
            </w:r>
            <w:r>
              <w:rPr>
                <w:rFonts w:ascii="SimHei" w:hAnsi="SimHei" w:eastAsia="SimHei" w:cs="SimHei"/>
                <w:sz w:val="32"/>
                <w:szCs w:val="32"/>
              </w:rPr>
              <w:tab/>
            </w: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2</w:t>
            </w:r>
          </w:hyperlink>
        </w:p>
        <w:p>
          <w:pPr>
            <w:ind w:left="805"/>
            <w:spacing w:before="235" w:line="222" w:lineRule="auto"/>
            <w:tabs>
              <w:tab w:val="right" w:leader="dot" w:pos="8327"/>
            </w:tabs>
            <w:rPr>
              <w:rFonts w:ascii="Times New Roman" w:hAnsi="Times New Roman" w:eastAsia="Times New Roman" w:cs="Times New Roman"/>
              <w:sz w:val="32"/>
              <w:szCs w:val="32"/>
            </w:rPr>
          </w:pPr>
          <w:bookmarkStart w:name="bookmark1" w:id="4"/>
          <w:bookmarkEnd w:id="4"/>
          <w:hyperlink w:history="true" w:anchor="bookmark1">
            <w:r>
              <w:rPr>
                <w:rFonts w:ascii="KaiTi" w:hAnsi="KaiTi" w:eastAsia="KaiTi" w:cs="KaiTi"/>
                <w:sz w:val="32"/>
                <w:szCs w:val="32"/>
                <w:spacing w:val="-18"/>
              </w:rPr>
              <w:t>(</w:t>
            </w:r>
            <w:r>
              <w:rPr>
                <w:rFonts w:ascii="KaiTi" w:hAnsi="KaiTi" w:eastAsia="KaiTi" w:cs="KaiTi"/>
                <w:sz w:val="32"/>
                <w:szCs w:val="32"/>
                <w:spacing w:val="-32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  <w:spacing w:val="-18"/>
              </w:rPr>
              <w:t>一</w:t>
            </w:r>
            <w:r>
              <w:rPr>
                <w:rFonts w:ascii="KaiTi" w:hAnsi="KaiTi" w:eastAsia="KaiTi" w:cs="KaiTi"/>
                <w:sz w:val="32"/>
                <w:szCs w:val="32"/>
                <w:spacing w:val="-43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  <w:spacing w:val="-18"/>
              </w:rPr>
              <w:t>)公司简介</w:t>
            </w:r>
            <w:r>
              <w:rPr>
                <w:rFonts w:ascii="KaiTi" w:hAnsi="KaiTi" w:eastAsia="KaiTi" w:cs="KaiTi"/>
                <w:sz w:val="32"/>
                <w:szCs w:val="32"/>
                <w:spacing w:val="-130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</w:rPr>
              <w:tab/>
            </w:r>
            <w:r>
              <w:rPr>
                <w:rFonts w:ascii="Times New Roman" w:hAnsi="Times New Roman" w:eastAsia="Times New Roman" w:cs="Times New Roman"/>
                <w:sz w:val="32"/>
                <w:szCs w:val="32"/>
                <w:spacing w:val="-12"/>
              </w:rPr>
              <w:t>2</w:t>
            </w:r>
          </w:hyperlink>
        </w:p>
        <w:p>
          <w:pPr>
            <w:ind w:left="805"/>
            <w:spacing w:before="236" w:line="223" w:lineRule="auto"/>
            <w:tabs>
              <w:tab w:val="right" w:leader="dot" w:pos="8257"/>
            </w:tabs>
            <w:rPr>
              <w:rFonts w:ascii="Times New Roman" w:hAnsi="Times New Roman" w:eastAsia="Times New Roman" w:cs="Times New Roman"/>
              <w:sz w:val="32"/>
              <w:szCs w:val="32"/>
            </w:rPr>
          </w:pPr>
          <w:bookmarkStart w:name="bookmark1" w:id="5"/>
          <w:bookmarkEnd w:id="5"/>
          <w:hyperlink w:history="true" w:anchor="bookmark1">
            <w:r>
              <w:rPr>
                <w:rFonts w:ascii="KaiTi" w:hAnsi="KaiTi" w:eastAsia="KaiTi" w:cs="KaiTi"/>
                <w:sz w:val="32"/>
                <w:szCs w:val="32"/>
                <w:spacing w:val="-4"/>
              </w:rPr>
              <w:t>(</w:t>
            </w:r>
            <w:r>
              <w:rPr>
                <w:rFonts w:ascii="KaiTi" w:hAnsi="KaiTi" w:eastAsia="KaiTi" w:cs="KaiTi"/>
                <w:sz w:val="32"/>
                <w:szCs w:val="32"/>
                <w:spacing w:val="-37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  <w:spacing w:val="-4"/>
              </w:rPr>
              <w:t>二</w:t>
            </w:r>
            <w:r>
              <w:rPr>
                <w:rFonts w:ascii="KaiTi" w:hAnsi="KaiTi" w:eastAsia="KaiTi" w:cs="KaiTi"/>
                <w:sz w:val="32"/>
                <w:szCs w:val="32"/>
                <w:spacing w:val="-49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  <w:spacing w:val="-4"/>
              </w:rPr>
              <w:t>)社会责任管理</w:t>
            </w:r>
            <w:r>
              <w:rPr>
                <w:rFonts w:ascii="KaiTi" w:hAnsi="KaiTi" w:eastAsia="KaiTi" w:cs="KaiTi"/>
                <w:sz w:val="32"/>
                <w:szCs w:val="32"/>
                <w:spacing w:val="-140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</w:rPr>
              <w:tab/>
            </w:r>
            <w:r>
              <w:rPr>
                <w:rFonts w:ascii="KaiTi" w:hAnsi="KaiTi" w:eastAsia="KaiTi" w:cs="KaiTi"/>
                <w:sz w:val="32"/>
                <w:szCs w:val="32"/>
                <w:spacing w:val="-8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2</w:t>
            </w:r>
          </w:hyperlink>
        </w:p>
        <w:p>
          <w:pPr>
            <w:ind w:left="805"/>
            <w:spacing w:before="208" w:line="226" w:lineRule="auto"/>
            <w:tabs>
              <w:tab w:val="right" w:leader="dot" w:pos="8299"/>
            </w:tabs>
            <w:rPr>
              <w:rFonts w:ascii="Times New Roman" w:hAnsi="Times New Roman" w:eastAsia="Times New Roman" w:cs="Times New Roman"/>
              <w:sz w:val="32"/>
              <w:szCs w:val="32"/>
            </w:rPr>
          </w:pPr>
          <w:bookmarkStart w:name="bookmark3" w:id="6"/>
          <w:bookmarkEnd w:id="6"/>
          <w:hyperlink w:history="true" w:anchor="bookmark3">
            <w:r>
              <w:rPr>
                <w:rFonts w:ascii="KaiTi" w:hAnsi="KaiTi" w:eastAsia="KaiTi" w:cs="KaiTi"/>
                <w:sz w:val="32"/>
                <w:szCs w:val="32"/>
                <w:spacing w:val="-4"/>
              </w:rPr>
              <w:t>(</w:t>
            </w:r>
            <w:r>
              <w:rPr>
                <w:rFonts w:ascii="KaiTi" w:hAnsi="KaiTi" w:eastAsia="KaiTi" w:cs="KaiTi"/>
                <w:sz w:val="32"/>
                <w:szCs w:val="32"/>
                <w:spacing w:val="-47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  <w:spacing w:val="-4"/>
              </w:rPr>
              <w:t>三</w:t>
            </w:r>
            <w:r>
              <w:rPr>
                <w:rFonts w:ascii="KaiTi" w:hAnsi="KaiTi" w:eastAsia="KaiTi" w:cs="KaiTi"/>
                <w:sz w:val="32"/>
                <w:szCs w:val="32"/>
                <w:spacing w:val="-49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  <w:spacing w:val="-4"/>
              </w:rPr>
              <w:t>)完善公司治理</w:t>
            </w:r>
            <w:r>
              <w:rPr>
                <w:rFonts w:ascii="KaiTi" w:hAnsi="KaiTi" w:eastAsia="KaiTi" w:cs="KaiTi"/>
                <w:sz w:val="32"/>
                <w:szCs w:val="32"/>
                <w:spacing w:val="-140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</w:rPr>
              <w:tab/>
            </w:r>
            <w:r>
              <w:rPr>
                <w:rFonts w:ascii="KaiTi" w:hAnsi="KaiTi" w:eastAsia="KaiTi" w:cs="KaiTi"/>
                <w:sz w:val="32"/>
                <w:szCs w:val="32"/>
                <w:spacing w:val="-3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4</w:t>
            </w:r>
          </w:hyperlink>
        </w:p>
        <w:p>
          <w:pPr>
            <w:ind w:left="659"/>
            <w:spacing w:before="202" w:line="219" w:lineRule="auto"/>
            <w:tabs>
              <w:tab w:val="right" w:leader="dot" w:pos="7979"/>
            </w:tabs>
            <w:rPr>
              <w:rFonts w:ascii="Times New Roman" w:hAnsi="Times New Roman" w:eastAsia="Times New Roman" w:cs="Times New Roman"/>
              <w:sz w:val="32"/>
              <w:szCs w:val="32"/>
            </w:rPr>
          </w:pPr>
          <w:bookmarkStart w:name="bookmark4" w:id="7"/>
          <w:bookmarkEnd w:id="7"/>
          <w:hyperlink w:history="true" w:anchor="bookmark4">
            <w:r>
              <w:rPr>
                <w:rFonts w:ascii="SimHei" w:hAnsi="SimHei" w:eastAsia="SimHei" w:cs="SimHei"/>
                <w:sz w:val="32"/>
                <w:szCs w:val="32"/>
                <w:b/>
                <w:bCs/>
                <w:spacing w:val="-4"/>
              </w:rPr>
              <w:t>二、权益保护执行情况</w:t>
            </w:r>
            <w:r>
              <w:rPr>
                <w:rFonts w:ascii="SimHei" w:hAnsi="SimHei" w:eastAsia="SimHei" w:cs="SimHei"/>
                <w:sz w:val="32"/>
                <w:szCs w:val="32"/>
                <w:spacing w:val="-130"/>
              </w:rPr>
              <w:t xml:space="preserve"> </w:t>
            </w:r>
            <w:r>
              <w:rPr>
                <w:rFonts w:ascii="SimHei" w:hAnsi="SimHei" w:eastAsia="SimHei" w:cs="SimHei"/>
                <w:sz w:val="32"/>
                <w:szCs w:val="32"/>
              </w:rPr>
              <w:tab/>
            </w:r>
            <w:r>
              <w:rPr>
                <w:rFonts w:ascii="SimHei" w:hAnsi="SimHei" w:eastAsia="SimHei" w:cs="SimHei"/>
                <w:sz w:val="32"/>
                <w:szCs w:val="32"/>
                <w:spacing w:val="-2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4</w:t>
            </w:r>
          </w:hyperlink>
        </w:p>
        <w:p>
          <w:pPr>
            <w:ind w:left="805"/>
            <w:spacing w:before="260" w:line="227" w:lineRule="auto"/>
            <w:tabs>
              <w:tab w:val="right" w:leader="dot" w:pos="8299"/>
            </w:tabs>
            <w:rPr>
              <w:rFonts w:ascii="Times New Roman" w:hAnsi="Times New Roman" w:eastAsia="Times New Roman" w:cs="Times New Roman"/>
              <w:sz w:val="32"/>
              <w:szCs w:val="32"/>
            </w:rPr>
          </w:pPr>
          <w:bookmarkStart w:name="bookmark5" w:id="8"/>
          <w:bookmarkEnd w:id="8"/>
          <w:hyperlink w:history="true" w:anchor="bookmark5">
            <w:r>
              <w:rPr>
                <w:rFonts w:ascii="KaiTi" w:hAnsi="KaiTi" w:eastAsia="KaiTi" w:cs="KaiTi"/>
                <w:sz w:val="32"/>
                <w:szCs w:val="32"/>
                <w:spacing w:val="-7"/>
              </w:rPr>
              <w:t>(</w:t>
            </w:r>
            <w:r>
              <w:rPr>
                <w:rFonts w:ascii="KaiTi" w:hAnsi="KaiTi" w:eastAsia="KaiTi" w:cs="KaiTi"/>
                <w:sz w:val="32"/>
                <w:szCs w:val="32"/>
                <w:spacing w:val="-35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  <w:spacing w:val="-7"/>
              </w:rPr>
              <w:t>一</w:t>
            </w:r>
            <w:r>
              <w:rPr>
                <w:rFonts w:ascii="KaiTi" w:hAnsi="KaiTi" w:eastAsia="KaiTi" w:cs="KaiTi"/>
                <w:sz w:val="32"/>
                <w:szCs w:val="32"/>
                <w:spacing w:val="-48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  <w:spacing w:val="-7"/>
              </w:rPr>
              <w:t>)债权人保护</w:t>
            </w:r>
            <w:r>
              <w:rPr>
                <w:rFonts w:ascii="KaiTi" w:hAnsi="KaiTi" w:eastAsia="KaiTi" w:cs="KaiTi"/>
                <w:sz w:val="32"/>
                <w:szCs w:val="32"/>
              </w:rPr>
              <w:tab/>
            </w:r>
            <w:r>
              <w:rPr>
                <w:rFonts w:ascii="KaiTi" w:hAnsi="KaiTi" w:eastAsia="KaiTi" w:cs="KaiTi"/>
                <w:sz w:val="32"/>
                <w:szCs w:val="32"/>
                <w:spacing w:val="-1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4</w:t>
            </w:r>
          </w:hyperlink>
        </w:p>
        <w:p>
          <w:pPr>
            <w:ind w:left="805"/>
            <w:spacing w:before="198" w:line="229" w:lineRule="auto"/>
            <w:tabs>
              <w:tab w:val="right" w:leader="dot" w:pos="8269"/>
            </w:tabs>
            <w:rPr>
              <w:rFonts w:ascii="Times New Roman" w:hAnsi="Times New Roman" w:eastAsia="Times New Roman" w:cs="Times New Roman"/>
              <w:sz w:val="32"/>
              <w:szCs w:val="32"/>
            </w:rPr>
          </w:pPr>
          <w:bookmarkStart w:name="bookmark6" w:id="9"/>
          <w:bookmarkEnd w:id="9"/>
          <w:hyperlink w:history="true" w:anchor="bookmark6">
            <w:r>
              <w:rPr>
                <w:rFonts w:ascii="KaiTi" w:hAnsi="KaiTi" w:eastAsia="KaiTi" w:cs="KaiTi"/>
                <w:sz w:val="32"/>
                <w:szCs w:val="32"/>
                <w:spacing w:val="-5"/>
              </w:rPr>
              <w:t>(</w:t>
            </w:r>
            <w:r>
              <w:rPr>
                <w:rFonts w:ascii="KaiTi" w:hAnsi="KaiTi" w:eastAsia="KaiTi" w:cs="KaiTi"/>
                <w:sz w:val="32"/>
                <w:szCs w:val="32"/>
                <w:spacing w:val="-31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  <w:spacing w:val="-5"/>
              </w:rPr>
              <w:t>二</w:t>
            </w:r>
            <w:r>
              <w:rPr>
                <w:rFonts w:ascii="KaiTi" w:hAnsi="KaiTi" w:eastAsia="KaiTi" w:cs="KaiTi"/>
                <w:sz w:val="32"/>
                <w:szCs w:val="32"/>
                <w:spacing w:val="-43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  <w:spacing w:val="-5"/>
              </w:rPr>
              <w:t>)股东权益保护</w:t>
            </w:r>
            <w:r>
              <w:rPr>
                <w:rFonts w:ascii="KaiTi" w:hAnsi="KaiTi" w:eastAsia="KaiTi" w:cs="KaiTi"/>
                <w:sz w:val="32"/>
                <w:szCs w:val="32"/>
              </w:rPr>
              <w:tab/>
            </w:r>
            <w:r>
              <w:rPr>
                <w:rFonts w:ascii="KaiTi" w:hAnsi="KaiTi" w:eastAsia="KaiTi" w:cs="KaiTi"/>
                <w:sz w:val="32"/>
                <w:szCs w:val="32"/>
                <w:spacing w:val="-6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4</w:t>
            </w:r>
          </w:hyperlink>
        </w:p>
        <w:p>
          <w:pPr>
            <w:ind w:left="805"/>
            <w:spacing w:before="189" w:line="227" w:lineRule="auto"/>
            <w:tabs>
              <w:tab w:val="right" w:leader="dot" w:pos="8269"/>
            </w:tabs>
            <w:rPr>
              <w:rFonts w:ascii="Times New Roman" w:hAnsi="Times New Roman" w:eastAsia="Times New Roman" w:cs="Times New Roman"/>
              <w:sz w:val="32"/>
              <w:szCs w:val="32"/>
            </w:rPr>
          </w:pPr>
          <w:bookmarkStart w:name="bookmark7" w:id="10"/>
          <w:bookmarkEnd w:id="10"/>
          <w:hyperlink w:history="true" w:anchor="bookmark7">
            <w:r>
              <w:rPr>
                <w:rFonts w:ascii="KaiTi" w:hAnsi="KaiTi" w:eastAsia="KaiTi" w:cs="KaiTi"/>
                <w:sz w:val="32"/>
                <w:szCs w:val="32"/>
                <w:spacing w:val="-6"/>
              </w:rPr>
              <w:t>(</w:t>
            </w:r>
            <w:r>
              <w:rPr>
                <w:rFonts w:ascii="KaiTi" w:hAnsi="KaiTi" w:eastAsia="KaiTi" w:cs="KaiTi"/>
                <w:sz w:val="32"/>
                <w:szCs w:val="32"/>
                <w:spacing w:val="-42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  <w:spacing w:val="-6"/>
              </w:rPr>
              <w:t>三</w:t>
            </w:r>
            <w:r>
              <w:rPr>
                <w:rFonts w:ascii="KaiTi" w:hAnsi="KaiTi" w:eastAsia="KaiTi" w:cs="KaiTi"/>
                <w:sz w:val="32"/>
                <w:szCs w:val="32"/>
                <w:spacing w:val="-43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  <w:spacing w:val="-6"/>
              </w:rPr>
              <w:t>)员工权益保护</w:t>
            </w:r>
            <w:r>
              <w:rPr>
                <w:rFonts w:ascii="KaiTi" w:hAnsi="KaiTi" w:eastAsia="KaiTi" w:cs="KaiTi"/>
                <w:sz w:val="32"/>
                <w:szCs w:val="32"/>
              </w:rPr>
              <w:tab/>
            </w:r>
            <w:r>
              <w:rPr>
                <w:rFonts w:ascii="KaiTi" w:hAnsi="KaiTi" w:eastAsia="KaiTi" w:cs="KaiTi"/>
                <w:sz w:val="32"/>
                <w:szCs w:val="32"/>
                <w:spacing w:val="-3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5</w:t>
            </w:r>
          </w:hyperlink>
        </w:p>
        <w:p>
          <w:pPr>
            <w:ind w:left="805"/>
            <w:spacing w:before="204" w:line="224" w:lineRule="auto"/>
            <w:tabs>
              <w:tab w:val="right" w:leader="dot" w:pos="8280"/>
            </w:tabs>
            <w:rPr>
              <w:rFonts w:ascii="Times New Roman" w:hAnsi="Times New Roman" w:eastAsia="Times New Roman" w:cs="Times New Roman"/>
              <w:sz w:val="32"/>
              <w:szCs w:val="32"/>
            </w:rPr>
          </w:pPr>
          <w:bookmarkStart w:name="bookmark8" w:id="11"/>
          <w:bookmarkEnd w:id="11"/>
          <w:hyperlink w:history="true" w:anchor="bookmark8">
            <w:r>
              <w:rPr>
                <w:rFonts w:ascii="KaiTi" w:hAnsi="KaiTi" w:eastAsia="KaiTi" w:cs="KaiTi"/>
                <w:sz w:val="32"/>
                <w:szCs w:val="32"/>
                <w:spacing w:val="-7"/>
              </w:rPr>
              <w:t>(</w:t>
            </w:r>
            <w:r>
              <w:rPr>
                <w:rFonts w:ascii="KaiTi" w:hAnsi="KaiTi" w:eastAsia="KaiTi" w:cs="KaiTi"/>
                <w:sz w:val="32"/>
                <w:szCs w:val="32"/>
                <w:spacing w:val="-7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  <w:spacing w:val="-7"/>
              </w:rPr>
              <w:t>四</w:t>
            </w:r>
            <w:r>
              <w:rPr>
                <w:rFonts w:ascii="KaiTi" w:hAnsi="KaiTi" w:eastAsia="KaiTi" w:cs="KaiTi"/>
                <w:sz w:val="32"/>
                <w:szCs w:val="32"/>
                <w:spacing w:val="-42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  <w:spacing w:val="-7"/>
              </w:rPr>
              <w:t>)供应商权益保护</w:t>
            </w:r>
            <w:r>
              <w:rPr>
                <w:rFonts w:ascii="KaiTi" w:hAnsi="KaiTi" w:eastAsia="KaiTi" w:cs="KaiTi"/>
                <w:sz w:val="32"/>
                <w:szCs w:val="32"/>
              </w:rPr>
              <w:tab/>
            </w:r>
            <w:r>
              <w:rPr>
                <w:rFonts w:ascii="KaiTi" w:hAnsi="KaiTi" w:eastAsia="KaiTi" w:cs="KaiTi"/>
                <w:sz w:val="32"/>
                <w:szCs w:val="32"/>
                <w:spacing w:val="-4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6</w:t>
            </w:r>
          </w:hyperlink>
        </w:p>
        <w:p>
          <w:pPr>
            <w:ind w:left="805"/>
            <w:spacing w:before="243" w:line="225" w:lineRule="auto"/>
            <w:tabs>
              <w:tab w:val="right" w:leader="dot" w:pos="8272"/>
            </w:tabs>
            <w:rPr>
              <w:rFonts w:ascii="Times New Roman" w:hAnsi="Times New Roman" w:eastAsia="Times New Roman" w:cs="Times New Roman"/>
              <w:sz w:val="32"/>
              <w:szCs w:val="32"/>
            </w:rPr>
          </w:pPr>
          <w:bookmarkStart w:name="bookmark9" w:id="12"/>
          <w:bookmarkEnd w:id="12"/>
          <w:hyperlink w:history="true" w:anchor="bookmark9">
            <w:r>
              <w:rPr>
                <w:rFonts w:ascii="KaiTi" w:hAnsi="KaiTi" w:eastAsia="KaiTi" w:cs="KaiTi"/>
                <w:sz w:val="32"/>
                <w:szCs w:val="32"/>
                <w:spacing w:val="-5"/>
              </w:rPr>
              <w:t>(</w:t>
            </w:r>
            <w:r>
              <w:rPr>
                <w:rFonts w:ascii="KaiTi" w:hAnsi="KaiTi" w:eastAsia="KaiTi" w:cs="KaiTi"/>
                <w:sz w:val="32"/>
                <w:szCs w:val="32"/>
                <w:spacing w:val="-36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  <w:spacing w:val="-5"/>
              </w:rPr>
              <w:t>五</w:t>
            </w:r>
            <w:r>
              <w:rPr>
                <w:rFonts w:ascii="KaiTi" w:hAnsi="KaiTi" w:eastAsia="KaiTi" w:cs="KaiTi"/>
                <w:sz w:val="32"/>
                <w:szCs w:val="32"/>
                <w:spacing w:val="-48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  <w:spacing w:val="-5"/>
              </w:rPr>
              <w:t>)客户和消费者权益保护</w:t>
            </w:r>
            <w:r>
              <w:rPr>
                <w:rFonts w:ascii="KaiTi" w:hAnsi="KaiTi" w:eastAsia="KaiTi" w:cs="KaiTi"/>
                <w:sz w:val="32"/>
                <w:szCs w:val="32"/>
              </w:rPr>
              <w:tab/>
            </w:r>
            <w:r>
              <w:rPr>
                <w:rFonts w:ascii="KaiTi" w:hAnsi="KaiTi" w:eastAsia="KaiTi" w:cs="KaiTi"/>
                <w:sz w:val="32"/>
                <w:szCs w:val="32"/>
                <w:spacing w:val="-2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7</w:t>
            </w:r>
          </w:hyperlink>
        </w:p>
        <w:p>
          <w:pPr>
            <w:ind w:left="659"/>
            <w:spacing w:before="182" w:line="213" w:lineRule="auto"/>
            <w:tabs>
              <w:tab w:val="right" w:leader="dot" w:pos="8164"/>
            </w:tabs>
            <w:rPr>
              <w:rFonts w:ascii="Times New Roman" w:hAnsi="Times New Roman" w:eastAsia="Times New Roman" w:cs="Times New Roman"/>
              <w:sz w:val="32"/>
              <w:szCs w:val="32"/>
            </w:rPr>
          </w:pPr>
          <w:bookmarkStart w:name="bookmark10" w:id="13"/>
          <w:bookmarkEnd w:id="13"/>
          <w:hyperlink w:history="true" w:anchor="bookmark10">
            <w:r>
              <w:rPr>
                <w:rFonts w:ascii="SimHei" w:hAnsi="SimHei" w:eastAsia="SimHei" w:cs="SimHei"/>
                <w:sz w:val="32"/>
                <w:szCs w:val="32"/>
                <w:b/>
                <w:bCs/>
                <w:spacing w:val="-4"/>
              </w:rPr>
              <w:t>三、加强生态环境保护，坚持可持续发展道路</w:t>
            </w:r>
            <w:r>
              <w:rPr>
                <w:rFonts w:ascii="SimHei" w:hAnsi="SimHei" w:eastAsia="SimHei" w:cs="SimHei"/>
                <w:sz w:val="32"/>
                <w:szCs w:val="32"/>
                <w:spacing w:val="-123"/>
              </w:rPr>
              <w:t xml:space="preserve"> </w:t>
            </w:r>
            <w:r>
              <w:rPr>
                <w:rFonts w:ascii="SimHei" w:hAnsi="SimHei" w:eastAsia="SimHei" w:cs="SimHei"/>
                <w:sz w:val="32"/>
                <w:szCs w:val="32"/>
              </w:rPr>
              <w:tab/>
            </w:r>
            <w:r>
              <w:rPr>
                <w:rFonts w:ascii="Times New Roman" w:hAnsi="Times New Roman" w:eastAsia="Times New Roman" w:cs="Times New Roman"/>
                <w:sz w:val="32"/>
                <w:szCs w:val="32"/>
                <w:b/>
                <w:bCs/>
              </w:rPr>
              <w:t>7</w:t>
            </w:r>
          </w:hyperlink>
        </w:p>
        <w:p>
          <w:pPr>
            <w:ind w:left="654"/>
            <w:spacing w:before="252" w:line="222" w:lineRule="auto"/>
            <w:tabs>
              <w:tab w:val="right" w:leader="dot" w:pos="8325"/>
            </w:tabs>
            <w:rPr>
              <w:rFonts w:ascii="Times New Roman" w:hAnsi="Times New Roman" w:eastAsia="Times New Roman" w:cs="Times New Roman"/>
              <w:sz w:val="32"/>
              <w:szCs w:val="32"/>
            </w:rPr>
          </w:pPr>
          <w:bookmarkStart w:name="bookmark11" w:id="14"/>
          <w:bookmarkEnd w:id="14"/>
          <w:hyperlink w:history="true" w:anchor="bookmark11">
            <w:r>
              <w:rPr>
                <w:rFonts w:ascii="SimHei" w:hAnsi="SimHei" w:eastAsia="SimHei" w:cs="SimHei"/>
                <w:sz w:val="32"/>
                <w:szCs w:val="32"/>
                <w:spacing w:val="-6"/>
              </w:rPr>
              <w:t>四</w:t>
            </w:r>
            <w:r>
              <w:rPr>
                <w:rFonts w:ascii="SimHei" w:hAnsi="SimHei" w:eastAsia="SimHei" w:cs="SimHei"/>
                <w:sz w:val="32"/>
                <w:szCs w:val="32"/>
                <w:spacing w:val="-77"/>
              </w:rPr>
              <w:t xml:space="preserve"> </w:t>
            </w:r>
            <w:r>
              <w:rPr>
                <w:rFonts w:ascii="SimHei" w:hAnsi="SimHei" w:eastAsia="SimHei" w:cs="SimHei"/>
                <w:sz w:val="32"/>
                <w:szCs w:val="32"/>
                <w:spacing w:val="-6"/>
              </w:rPr>
              <w:t>、公共关系和社会公益事业</w:t>
            </w:r>
            <w:r>
              <w:rPr>
                <w:rFonts w:ascii="SimHei" w:hAnsi="SimHei" w:eastAsia="SimHei" w:cs="SimHei"/>
                <w:sz w:val="32"/>
                <w:szCs w:val="32"/>
                <w:spacing w:val="-147"/>
              </w:rPr>
              <w:t xml:space="preserve"> </w:t>
            </w:r>
            <w:r>
              <w:rPr>
                <w:rFonts w:ascii="SimHei" w:hAnsi="SimHei" w:eastAsia="SimHei" w:cs="SimHei"/>
                <w:sz w:val="32"/>
                <w:szCs w:val="32"/>
              </w:rPr>
              <w:tab/>
            </w:r>
            <w:r>
              <w:rPr>
                <w:rFonts w:ascii="Times New Roman" w:hAnsi="Times New Roman" w:eastAsia="Times New Roman" w:cs="Times New Roman"/>
                <w:sz w:val="32"/>
                <w:szCs w:val="32"/>
                <w:spacing w:val="-24"/>
              </w:rPr>
              <w:t>8</w:t>
            </w:r>
          </w:hyperlink>
        </w:p>
        <w:p>
          <w:pPr>
            <w:ind w:left="805"/>
            <w:spacing w:before="228" w:line="223" w:lineRule="auto"/>
            <w:tabs>
              <w:tab w:val="right" w:leader="dot" w:pos="8315"/>
            </w:tabs>
            <w:rPr>
              <w:rFonts w:ascii="Times New Roman" w:hAnsi="Times New Roman" w:eastAsia="Times New Roman" w:cs="Times New Roman"/>
              <w:sz w:val="32"/>
              <w:szCs w:val="32"/>
            </w:rPr>
          </w:pPr>
          <w:bookmarkStart w:name="bookmark12" w:id="15"/>
          <w:bookmarkEnd w:id="15"/>
          <w:hyperlink w:history="true" w:anchor="bookmark12">
            <w:r>
              <w:rPr>
                <w:rFonts w:ascii="KaiTi" w:hAnsi="KaiTi" w:eastAsia="KaiTi" w:cs="KaiTi"/>
                <w:sz w:val="32"/>
                <w:szCs w:val="32"/>
                <w:spacing w:val="-3"/>
              </w:rPr>
              <w:t>(</w:t>
            </w:r>
            <w:r>
              <w:rPr>
                <w:rFonts w:ascii="KaiTi" w:hAnsi="KaiTi" w:eastAsia="KaiTi" w:cs="KaiTi"/>
                <w:sz w:val="32"/>
                <w:szCs w:val="32"/>
                <w:spacing w:val="-30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  <w:spacing w:val="-3"/>
              </w:rPr>
              <w:t>一</w:t>
            </w:r>
            <w:r>
              <w:rPr>
                <w:rFonts w:ascii="KaiTi" w:hAnsi="KaiTi" w:eastAsia="KaiTi" w:cs="KaiTi"/>
                <w:sz w:val="32"/>
                <w:szCs w:val="32"/>
                <w:spacing w:val="-43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  <w:spacing w:val="-3"/>
              </w:rPr>
              <w:t>)公共关系</w:t>
            </w:r>
            <w:r>
              <w:rPr>
                <w:rFonts w:ascii="KaiTi" w:hAnsi="KaiTi" w:eastAsia="KaiTi" w:cs="KaiTi"/>
                <w:sz w:val="32"/>
                <w:szCs w:val="32"/>
              </w:rPr>
              <w:tab/>
            </w:r>
            <w:r>
              <w:rPr>
                <w:rFonts w:ascii="KaiTi" w:hAnsi="KaiTi" w:eastAsia="KaiTi" w:cs="KaiTi"/>
                <w:sz w:val="32"/>
                <w:szCs w:val="32"/>
                <w:spacing w:val="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  <w:spacing w:val="-20"/>
              </w:rPr>
              <w:t>8</w:t>
            </w:r>
          </w:hyperlink>
        </w:p>
        <w:p>
          <w:pPr>
            <w:ind w:left="805"/>
            <w:spacing w:before="210" w:line="232" w:lineRule="auto"/>
            <w:tabs>
              <w:tab w:val="right" w:leader="dot" w:pos="8295"/>
            </w:tabs>
            <w:rPr>
              <w:rFonts w:ascii="Times New Roman" w:hAnsi="Times New Roman" w:eastAsia="Times New Roman" w:cs="Times New Roman"/>
              <w:sz w:val="32"/>
              <w:szCs w:val="32"/>
            </w:rPr>
          </w:pPr>
          <w:bookmarkStart w:name="bookmark13" w:id="16"/>
          <w:bookmarkEnd w:id="16"/>
          <w:hyperlink w:history="true" w:anchor="bookmark13">
            <w:r>
              <w:rPr>
                <w:rFonts w:ascii="KaiTi" w:hAnsi="KaiTi" w:eastAsia="KaiTi" w:cs="KaiTi"/>
                <w:sz w:val="32"/>
                <w:szCs w:val="32"/>
                <w:spacing w:val="-5"/>
              </w:rPr>
              <w:t>(</w:t>
            </w:r>
            <w:r>
              <w:rPr>
                <w:rFonts w:ascii="KaiTi" w:hAnsi="KaiTi" w:eastAsia="KaiTi" w:cs="KaiTi"/>
                <w:sz w:val="32"/>
                <w:szCs w:val="32"/>
                <w:spacing w:val="-35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  <w:spacing w:val="-5"/>
              </w:rPr>
              <w:t>二</w:t>
            </w:r>
            <w:r>
              <w:rPr>
                <w:rFonts w:ascii="KaiTi" w:hAnsi="KaiTi" w:eastAsia="KaiTi" w:cs="KaiTi"/>
                <w:sz w:val="32"/>
                <w:szCs w:val="32"/>
                <w:spacing w:val="-43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  <w:spacing w:val="-5"/>
              </w:rPr>
              <w:t>)依法纳税</w:t>
            </w:r>
            <w:r>
              <w:rPr>
                <w:rFonts w:ascii="KaiTi" w:hAnsi="KaiTi" w:eastAsia="KaiTi" w:cs="KaiTi"/>
                <w:sz w:val="32"/>
                <w:szCs w:val="32"/>
                <w:spacing w:val="-139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</w:rPr>
              <w:tab/>
            </w:r>
            <w:r>
              <w:rPr>
                <w:rFonts w:ascii="KaiTi" w:hAnsi="KaiTi" w:eastAsia="KaiTi" w:cs="KaiTi"/>
                <w:sz w:val="32"/>
                <w:szCs w:val="32"/>
                <w:spacing w:val="-4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8</w:t>
            </w:r>
          </w:hyperlink>
        </w:p>
        <w:p>
          <w:pPr>
            <w:ind w:left="805"/>
            <w:spacing w:before="204" w:line="230" w:lineRule="auto"/>
            <w:tabs>
              <w:tab w:val="right" w:leader="dot" w:pos="8262"/>
            </w:tabs>
            <w:rPr>
              <w:rFonts w:ascii="Times New Roman" w:hAnsi="Times New Roman" w:eastAsia="Times New Roman" w:cs="Times New Roman"/>
              <w:sz w:val="32"/>
              <w:szCs w:val="32"/>
            </w:rPr>
          </w:pPr>
          <w:bookmarkStart w:name="bookmark14" w:id="17"/>
          <w:bookmarkEnd w:id="17"/>
          <w:hyperlink w:history="true" w:anchor="bookmark14">
            <w:r>
              <w:rPr>
                <w:rFonts w:ascii="KaiTi" w:hAnsi="KaiTi" w:eastAsia="KaiTi" w:cs="KaiTi"/>
                <w:sz w:val="32"/>
                <w:szCs w:val="32"/>
                <w:spacing w:val="-6"/>
              </w:rPr>
              <w:t>(</w:t>
            </w:r>
            <w:r>
              <w:rPr>
                <w:rFonts w:ascii="KaiTi" w:hAnsi="KaiTi" w:eastAsia="KaiTi" w:cs="KaiTi"/>
                <w:sz w:val="32"/>
                <w:szCs w:val="32"/>
                <w:spacing w:val="-44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  <w:spacing w:val="-6"/>
              </w:rPr>
              <w:t>三</w:t>
            </w:r>
            <w:r>
              <w:rPr>
                <w:rFonts w:ascii="KaiTi" w:hAnsi="KaiTi" w:eastAsia="KaiTi" w:cs="KaiTi"/>
                <w:sz w:val="32"/>
                <w:szCs w:val="32"/>
                <w:spacing w:val="-48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  <w:spacing w:val="-6"/>
              </w:rPr>
              <w:t>)社会公益</w:t>
            </w:r>
            <w:r>
              <w:rPr>
                <w:rFonts w:ascii="KaiTi" w:hAnsi="KaiTi" w:eastAsia="KaiTi" w:cs="KaiTi"/>
                <w:sz w:val="32"/>
                <w:szCs w:val="32"/>
                <w:spacing w:val="-148"/>
              </w:rPr>
              <w:t xml:space="preserve"> </w:t>
            </w:r>
            <w:r>
              <w:rPr>
                <w:rFonts w:ascii="KaiTi" w:hAnsi="KaiTi" w:eastAsia="KaiTi" w:cs="KaiTi"/>
                <w:sz w:val="32"/>
                <w:szCs w:val="32"/>
              </w:rPr>
              <w:tab/>
            </w:r>
            <w:r>
              <w:rPr>
                <w:rFonts w:ascii="KaiTi" w:hAnsi="KaiTi" w:eastAsia="KaiTi" w:cs="KaiTi"/>
                <w:sz w:val="32"/>
                <w:szCs w:val="32"/>
                <w:spacing w:val="-5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32"/>
                <w:szCs w:val="32"/>
              </w:rPr>
              <w:t>9</w:t>
            </w:r>
          </w:hyperlink>
        </w:p>
        <w:p>
          <w:pPr>
            <w:ind w:left="659"/>
            <w:spacing w:before="192" w:line="222" w:lineRule="auto"/>
            <w:tabs>
              <w:tab w:val="right" w:leader="dot" w:pos="8317"/>
            </w:tabs>
            <w:rPr>
              <w:rFonts w:ascii="Times New Roman" w:hAnsi="Times New Roman" w:eastAsia="Times New Roman" w:cs="Times New Roman"/>
              <w:sz w:val="32"/>
              <w:szCs w:val="32"/>
            </w:rPr>
          </w:pPr>
          <w:bookmarkStart w:name="bookmark15" w:id="18"/>
          <w:bookmarkEnd w:id="18"/>
          <w:hyperlink w:history="true" w:anchor="bookmark15">
            <w:r>
              <w:rPr>
                <w:rFonts w:ascii="SimHei" w:hAnsi="SimHei" w:eastAsia="SimHei" w:cs="SimHei"/>
                <w:sz w:val="32"/>
                <w:szCs w:val="32"/>
                <w:b/>
                <w:bCs/>
                <w:spacing w:val="2"/>
              </w:rPr>
              <w:t>报告结语</w:t>
            </w:r>
            <w:r>
              <w:rPr>
                <w:rFonts w:ascii="SimHei" w:hAnsi="SimHei" w:eastAsia="SimHei" w:cs="SimHei"/>
                <w:sz w:val="32"/>
                <w:szCs w:val="32"/>
                <w:spacing w:val="-137"/>
              </w:rPr>
              <w:t xml:space="preserve"> </w:t>
            </w:r>
            <w:r>
              <w:rPr>
                <w:rFonts w:ascii="SimHei" w:hAnsi="SimHei" w:eastAsia="SimHei" w:cs="SimHei"/>
                <w:sz w:val="32"/>
                <w:szCs w:val="32"/>
              </w:rPr>
              <w:tab/>
            </w:r>
            <w:r>
              <w:rPr>
                <w:rFonts w:ascii="Times New Roman" w:hAnsi="Times New Roman" w:eastAsia="Times New Roman" w:cs="Times New Roman"/>
                <w:sz w:val="32"/>
                <w:szCs w:val="32"/>
                <w:spacing w:val="-60"/>
                <w:w w:val="80"/>
              </w:rPr>
              <w:t>1</w:t>
            </w:r>
          </w:hyperlink>
        </w:p>
      </w:sdtContent>
    </w:sdt>
    <w:p>
      <w:pPr>
        <w:spacing w:line="222" w:lineRule="auto"/>
        <w:sectPr>
          <w:pgSz w:w="11900" w:h="16380"/>
          <w:pgMar w:top="1378" w:right="1785" w:bottom="0" w:left="1785" w:header="0" w:footer="0" w:gutter="0"/>
        </w:sectPr>
        <w:rPr>
          <w:rFonts w:ascii="Times New Roman" w:hAnsi="Times New Roman" w:eastAsia="Times New Roman" w:cs="Times New Roman"/>
          <w:sz w:val="32"/>
          <w:szCs w:val="32"/>
        </w:rPr>
      </w:pPr>
    </w:p>
    <w:p>
      <w:pPr>
        <w:ind w:left="3631"/>
        <w:spacing w:before="96" w:line="222" w:lineRule="auto"/>
        <w:outlineLvl w:val="0"/>
        <w:rPr>
          <w:rFonts w:ascii="SimHei" w:hAnsi="SimHei" w:eastAsia="SimHei" w:cs="SimHei"/>
          <w:sz w:val="47"/>
          <w:szCs w:val="47"/>
        </w:rPr>
      </w:pPr>
      <w:bookmarkStart w:name="bookmark15" w:id="19"/>
      <w:bookmarkEnd w:id="19"/>
      <w:bookmarkStart w:name="bookmark2" w:id="20"/>
      <w:bookmarkEnd w:id="20"/>
      <w:r>
        <w:rPr>
          <w:rFonts w:ascii="SimHei" w:hAnsi="SimHei" w:eastAsia="SimHei" w:cs="SimHei"/>
          <w:sz w:val="47"/>
          <w:szCs w:val="47"/>
          <w:b/>
          <w:bCs/>
          <w:spacing w:val="-15"/>
        </w:rPr>
        <w:t>前</w:t>
      </w:r>
      <w:r>
        <w:rPr>
          <w:rFonts w:ascii="SimHei" w:hAnsi="SimHei" w:eastAsia="SimHei" w:cs="SimHei"/>
          <w:sz w:val="47"/>
          <w:szCs w:val="47"/>
          <w:spacing w:val="-33"/>
        </w:rPr>
        <w:t xml:space="preserve"> </w:t>
      </w:r>
      <w:r>
        <w:rPr>
          <w:rFonts w:ascii="SimHei" w:hAnsi="SimHei" w:eastAsia="SimHei" w:cs="SimHei"/>
          <w:sz w:val="47"/>
          <w:szCs w:val="47"/>
          <w:b/>
          <w:bCs/>
          <w:spacing w:val="-15"/>
        </w:rPr>
        <w:t>言</w:t>
      </w:r>
    </w:p>
    <w:p>
      <w:pPr>
        <w:ind w:left="44" w:right="114" w:firstLine="560"/>
        <w:spacing w:before="300" w:line="332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本公司出具的社会责任报告，是依据《中国企业社会责任报告编</w:t>
      </w:r>
      <w:r>
        <w:rPr>
          <w:rFonts w:ascii="FangSong" w:hAnsi="FangSong" w:eastAsia="FangSong" w:cs="FangSong"/>
          <w:sz w:val="28"/>
          <w:szCs w:val="28"/>
          <w:spacing w:val="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4"/>
        </w:rPr>
        <w:t>写指南》进行编制。本报告以2023年度为重点，真实、客观反映公</w:t>
      </w:r>
      <w:r>
        <w:rPr>
          <w:rFonts w:ascii="FangSong" w:hAnsi="FangSong" w:eastAsia="FangSong" w:cs="FangSong"/>
          <w:sz w:val="28"/>
          <w:szCs w:val="28"/>
          <w:spacing w:val="1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司履行社会责任信息，全面阐释公司对社会责任的认知与践行。</w:t>
      </w:r>
    </w:p>
    <w:p>
      <w:pPr>
        <w:ind w:left="49"/>
        <w:spacing w:before="70" w:line="223" w:lineRule="auto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-15"/>
        </w:rPr>
        <w:t>一、报告范围</w:t>
      </w:r>
    </w:p>
    <w:p>
      <w:pPr>
        <w:ind w:left="44" w:firstLine="560"/>
        <w:spacing w:before="205" w:line="344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6"/>
        </w:rPr>
        <w:t>本报告的组织范围为哈尔滨群勤环保科技公司</w:t>
      </w:r>
      <w:r>
        <w:rPr>
          <w:rFonts w:ascii="FangSong" w:hAnsi="FangSong" w:eastAsia="FangSong" w:cs="FangSong"/>
          <w:sz w:val="28"/>
          <w:szCs w:val="28"/>
          <w:spacing w:val="5"/>
        </w:rPr>
        <w:t>。本报告描述了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15"/>
        </w:rPr>
        <w:t>2023年1月1日至2023年12月31日期间，公司在债权人权益保护、</w:t>
      </w:r>
      <w:r>
        <w:rPr>
          <w:rFonts w:ascii="FangSong" w:hAnsi="FangSong" w:eastAsia="FangSong" w:cs="FangSong"/>
          <w:sz w:val="28"/>
          <w:szCs w:val="28"/>
          <w:spacing w:val="1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股东权益保护、员工权益保护、供应商权益保护、客户和消费者权益</w:t>
      </w:r>
      <w:r>
        <w:rPr>
          <w:rFonts w:ascii="FangSong" w:hAnsi="FangSong" w:eastAsia="FangSong" w:cs="FangSong"/>
          <w:sz w:val="28"/>
          <w:szCs w:val="28"/>
          <w:spacing w:val="4"/>
        </w:rPr>
        <w:t xml:space="preserve">  </w:t>
      </w:r>
      <w:r>
        <w:rPr>
          <w:rFonts w:ascii="FangSong" w:hAnsi="FangSong" w:eastAsia="FangSong" w:cs="FangSong"/>
          <w:sz w:val="28"/>
          <w:szCs w:val="28"/>
          <w:spacing w:val="-5"/>
        </w:rPr>
        <w:t>保护、环境保护与可持续发展、公共关系和社会公益事业等方面的理</w:t>
      </w:r>
      <w:r>
        <w:rPr>
          <w:rFonts w:ascii="FangSong" w:hAnsi="FangSong" w:eastAsia="FangSong" w:cs="FangSong"/>
          <w:sz w:val="28"/>
          <w:szCs w:val="28"/>
          <w:spacing w:val="3"/>
        </w:rPr>
        <w:t xml:space="preserve">  </w:t>
      </w:r>
      <w:r>
        <w:rPr>
          <w:rFonts w:ascii="FangSong" w:hAnsi="FangSong" w:eastAsia="FangSong" w:cs="FangSong"/>
          <w:sz w:val="28"/>
          <w:szCs w:val="28"/>
          <w:spacing w:val="-5"/>
        </w:rPr>
        <w:t>念、制度、采取的措施和取得的绩效等。</w:t>
      </w:r>
    </w:p>
    <w:p>
      <w:pPr>
        <w:ind w:left="49"/>
        <w:spacing w:before="23" w:line="221" w:lineRule="auto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-16"/>
        </w:rPr>
        <w:t>二、报告发布形式</w:t>
      </w:r>
    </w:p>
    <w:p>
      <w:pPr>
        <w:ind w:left="44" w:right="111" w:firstLine="560"/>
        <w:spacing w:before="235" w:line="32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本公司每年定期发布一次企业社会责任报告，本报告以电子文档</w:t>
      </w:r>
      <w:r>
        <w:rPr>
          <w:rFonts w:ascii="FangSong" w:hAnsi="FangSong" w:eastAsia="FangSong" w:cs="FangSong"/>
          <w:sz w:val="28"/>
          <w:szCs w:val="28"/>
          <w:spacing w:val="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形式在本公司网站向社会公布，欢迎下载阅读并提出宝贵意见。</w:t>
      </w:r>
    </w:p>
    <w:p>
      <w:pPr>
        <w:spacing w:line="326" w:lineRule="auto"/>
        <w:sectPr>
          <w:footerReference w:type="default" r:id="rId2"/>
          <w:pgSz w:w="11900" w:h="16380"/>
          <w:pgMar w:top="1326" w:right="1690" w:bottom="1512" w:left="1785" w:header="0" w:footer="1404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ind w:left="29"/>
        <w:spacing w:before="60" w:line="221" w:lineRule="auto"/>
        <w:outlineLvl w:val="0"/>
        <w:rPr>
          <w:rFonts w:ascii="SimHei" w:hAnsi="SimHei" w:eastAsia="SimHei" w:cs="SimHei"/>
          <w:sz w:val="30"/>
          <w:szCs w:val="30"/>
        </w:rPr>
      </w:pPr>
      <w:bookmarkStart w:name="bookmark16" w:id="21"/>
      <w:bookmarkEnd w:id="21"/>
      <w:bookmarkStart w:name="bookmark1" w:id="22"/>
      <w:bookmarkEnd w:id="22"/>
      <w:r>
        <w:rPr>
          <w:rFonts w:ascii="SimHei" w:hAnsi="SimHei" w:eastAsia="SimHei" w:cs="SimHei"/>
          <w:sz w:val="30"/>
          <w:szCs w:val="30"/>
          <w:b/>
          <w:bCs/>
          <w:spacing w:val="2"/>
        </w:rPr>
        <w:t>一</w:t>
      </w:r>
      <w:r>
        <w:rPr>
          <w:rFonts w:ascii="SimHei" w:hAnsi="SimHei" w:eastAsia="SimHei" w:cs="SimHei"/>
          <w:sz w:val="30"/>
          <w:szCs w:val="30"/>
          <w:spacing w:val="-79"/>
        </w:rPr>
        <w:t xml:space="preserve"> </w:t>
      </w:r>
      <w:r>
        <w:rPr>
          <w:rFonts w:ascii="SimHei" w:hAnsi="SimHei" w:eastAsia="SimHei" w:cs="SimHei"/>
          <w:sz w:val="30"/>
          <w:szCs w:val="30"/>
          <w:b/>
          <w:bCs/>
          <w:spacing w:val="2"/>
        </w:rPr>
        <w:t>、公司概况</w:t>
      </w:r>
    </w:p>
    <w:p>
      <w:pPr>
        <w:ind w:left="829"/>
        <w:spacing w:before="245" w:line="222" w:lineRule="auto"/>
        <w:outlineLvl w:val="0"/>
        <w:rPr>
          <w:rFonts w:ascii="KaiTi" w:hAnsi="KaiTi" w:eastAsia="KaiTi" w:cs="KaiTi"/>
          <w:sz w:val="30"/>
          <w:szCs w:val="30"/>
        </w:rPr>
      </w:pPr>
      <w:bookmarkStart w:name="bookmark1" w:id="23"/>
      <w:bookmarkEnd w:id="23"/>
      <w:r>
        <w:rPr>
          <w:rFonts w:ascii="KaiTi" w:hAnsi="KaiTi" w:eastAsia="KaiTi" w:cs="KaiTi"/>
          <w:sz w:val="30"/>
          <w:szCs w:val="30"/>
          <w:b/>
          <w:bCs/>
          <w:spacing w:val="20"/>
        </w:rPr>
        <w:t>(</w:t>
      </w:r>
      <w:r>
        <w:rPr>
          <w:rFonts w:ascii="KaiTi" w:hAnsi="KaiTi" w:eastAsia="KaiTi" w:cs="KaiTi"/>
          <w:sz w:val="30"/>
          <w:szCs w:val="30"/>
          <w:spacing w:val="-82"/>
        </w:rPr>
        <w:t xml:space="preserve"> </w:t>
      </w:r>
      <w:r>
        <w:rPr>
          <w:rFonts w:ascii="KaiTi" w:hAnsi="KaiTi" w:eastAsia="KaiTi" w:cs="KaiTi"/>
          <w:sz w:val="30"/>
          <w:szCs w:val="30"/>
          <w:b/>
          <w:bCs/>
          <w:spacing w:val="20"/>
        </w:rPr>
        <w:t>一)公司简介</w:t>
      </w:r>
    </w:p>
    <w:p>
      <w:pPr>
        <w:ind w:left="24" w:right="77" w:firstLine="629"/>
        <w:spacing w:before="332" w:line="37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7"/>
        </w:rPr>
        <w:t>哈尔滨群勤环保科技有限公司成立于2008年</w:t>
      </w:r>
      <w:r>
        <w:rPr>
          <w:rFonts w:ascii="FangSong" w:hAnsi="FangSong" w:eastAsia="FangSong" w:cs="FangSong"/>
          <w:sz w:val="30"/>
          <w:szCs w:val="30"/>
          <w:spacing w:val="16"/>
        </w:rPr>
        <w:t>，注册资本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1"/>
        </w:rPr>
        <w:t>2000万元，占地面积23450平方米，位于黑龙江省哈</w:t>
      </w:r>
      <w:r>
        <w:rPr>
          <w:rFonts w:ascii="FangSong" w:hAnsi="FangSong" w:eastAsia="FangSong" w:cs="FangSong"/>
          <w:sz w:val="30"/>
          <w:szCs w:val="30"/>
          <w:spacing w:val="10"/>
        </w:rPr>
        <w:t>尔滨市呼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6"/>
        </w:rPr>
        <w:t>兰区双井街道办事处黄平村，是集电子废弃物回收、拆解</w:t>
      </w:r>
      <w:r>
        <w:rPr>
          <w:rFonts w:ascii="FangSong" w:hAnsi="FangSong" w:eastAsia="FangSong" w:cs="FangSong"/>
          <w:sz w:val="30"/>
          <w:szCs w:val="30"/>
          <w:spacing w:val="-7"/>
        </w:rPr>
        <w:t>、处置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6"/>
        </w:rPr>
        <w:t>和资源循环再利用为一体的综合企业，是黑龙江首家获取废旧电</w:t>
      </w:r>
      <w:r>
        <w:rPr>
          <w:rFonts w:ascii="FangSong" w:hAnsi="FangSong" w:eastAsia="FangSong" w:cs="FangSong"/>
          <w:sz w:val="30"/>
          <w:szCs w:val="30"/>
          <w:spacing w:val="18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6"/>
        </w:rPr>
        <w:t>器、电子产品回收拆解处置资质的环保企业，黑龙江</w:t>
      </w:r>
      <w:r>
        <w:rPr>
          <w:rFonts w:ascii="FangSong" w:hAnsi="FangSong" w:eastAsia="FangSong" w:cs="FangSong"/>
          <w:sz w:val="30"/>
          <w:szCs w:val="30"/>
          <w:spacing w:val="-17"/>
        </w:rPr>
        <w:t>首家列入《电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6"/>
        </w:rPr>
        <w:t>子废物拆解利用处置名录》的独立法人单位，哈尔滨</w:t>
      </w:r>
      <w:r>
        <w:rPr>
          <w:rFonts w:ascii="FangSong" w:hAnsi="FangSong" w:eastAsia="FangSong" w:cs="FangSong"/>
          <w:sz w:val="30"/>
          <w:szCs w:val="30"/>
          <w:spacing w:val="-7"/>
        </w:rPr>
        <w:t>市唯一获得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6"/>
        </w:rPr>
        <w:t>《废弃电器电子产品拆解处理资格证书》的拆解企业。公司年处</w:t>
      </w:r>
      <w:r>
        <w:rPr>
          <w:rFonts w:ascii="FangSong" w:hAnsi="FangSong" w:eastAsia="FangSong" w:cs="FangSong"/>
          <w:sz w:val="30"/>
          <w:szCs w:val="30"/>
          <w:spacing w:val="17"/>
        </w:rPr>
        <w:t xml:space="preserve"> </w:t>
      </w:r>
      <w:r>
        <w:rPr>
          <w:rFonts w:ascii="FangSong" w:hAnsi="FangSong" w:eastAsia="FangSong" w:cs="FangSong"/>
          <w:sz w:val="30"/>
          <w:szCs w:val="30"/>
        </w:rPr>
        <w:t>理废旧五大类家电的能力为136.2万台、其它小型电子类废弃物</w:t>
      </w:r>
      <w:r>
        <w:rPr>
          <w:rFonts w:ascii="FangSong" w:hAnsi="FangSong" w:eastAsia="FangSong" w:cs="FangSong"/>
          <w:sz w:val="30"/>
          <w:szCs w:val="30"/>
          <w:spacing w:val="1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4"/>
        </w:rPr>
        <w:t>5.05万吨，有效缓解了社会产生的电子废物的处理压力，减轻了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6"/>
        </w:rPr>
        <w:t>不合理回收带来的环境风险，实现变废为宝，具有显</w:t>
      </w:r>
      <w:r>
        <w:rPr>
          <w:rFonts w:ascii="FangSong" w:hAnsi="FangSong" w:eastAsia="FangSong" w:cs="FangSong"/>
          <w:sz w:val="30"/>
          <w:szCs w:val="30"/>
          <w:spacing w:val="-7"/>
        </w:rPr>
        <w:t>著的社会效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0"/>
        </w:rPr>
        <w:t>益。公司现有员工126人，其中管理团队共21人，管理人员占</w:t>
      </w:r>
      <w:r>
        <w:rPr>
          <w:rFonts w:ascii="FangSong" w:hAnsi="FangSong" w:eastAsia="FangSong" w:cs="FangSong"/>
          <w:sz w:val="30"/>
          <w:szCs w:val="30"/>
          <w:spacing w:val="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"/>
        </w:rPr>
        <w:t>比17%。公司秉承各岗位人员多能手，多能工的人才培养理念，</w:t>
      </w:r>
      <w:r>
        <w:rPr>
          <w:rFonts w:ascii="FangSong" w:hAnsi="FangSong" w:eastAsia="FangSong" w:cs="FangSong"/>
          <w:sz w:val="30"/>
          <w:szCs w:val="30"/>
          <w:spacing w:val="1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6"/>
        </w:rPr>
        <w:t>不断提高企业各岗位人员多方面发展的能力，培</w:t>
      </w:r>
      <w:r>
        <w:rPr>
          <w:rFonts w:ascii="FangSong" w:hAnsi="FangSong" w:eastAsia="FangSong" w:cs="FangSong"/>
          <w:sz w:val="30"/>
          <w:szCs w:val="30"/>
          <w:spacing w:val="-7"/>
        </w:rPr>
        <w:t>养出一支有综合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5"/>
        </w:rPr>
        <w:t>性技能人才的企业管理团队。团队中具有大专及以上学历人员</w:t>
      </w:r>
      <w:r>
        <w:rPr>
          <w:rFonts w:ascii="FangSong" w:hAnsi="FangSong" w:eastAsia="FangSong" w:cs="FangSong"/>
          <w:sz w:val="30"/>
          <w:szCs w:val="30"/>
          <w:spacing w:val="3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21"/>
        </w:rPr>
        <w:t>16人，占比13%,具有中级会计职称2</w:t>
      </w:r>
      <w:r>
        <w:rPr>
          <w:rFonts w:ascii="FangSong" w:hAnsi="FangSong" w:eastAsia="FangSong" w:cs="FangSong"/>
          <w:sz w:val="30"/>
          <w:szCs w:val="30"/>
          <w:spacing w:val="20"/>
        </w:rPr>
        <w:t>人。</w:t>
      </w:r>
    </w:p>
    <w:p>
      <w:pPr>
        <w:ind w:left="24" w:firstLine="649"/>
        <w:spacing w:before="109" w:line="36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3"/>
        </w:rPr>
        <w:t>哈尔滨群勤中心处理的电子废弃物主要包括：电</w:t>
      </w:r>
      <w:r>
        <w:rPr>
          <w:rFonts w:ascii="FangSong" w:hAnsi="FangSong" w:eastAsia="FangSong" w:cs="FangSong"/>
          <w:sz w:val="30"/>
          <w:szCs w:val="30"/>
          <w:spacing w:val="-4"/>
        </w:rPr>
        <w:t>视、冰箱、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3"/>
        </w:rPr>
        <w:t>洗衣机、房间空调器、微型计算机(“四机一脑”)等14大类，</w:t>
      </w:r>
      <w:r>
        <w:rPr>
          <w:rFonts w:ascii="FangSong" w:hAnsi="FangSong" w:eastAsia="FangSong" w:cs="FangSong"/>
          <w:sz w:val="30"/>
          <w:szCs w:val="30"/>
          <w:spacing w:val="1"/>
        </w:rPr>
        <w:t xml:space="preserve">  </w:t>
      </w:r>
      <w:r>
        <w:rPr>
          <w:rFonts w:ascii="FangSong" w:hAnsi="FangSong" w:eastAsia="FangSong" w:cs="FangSong"/>
          <w:sz w:val="30"/>
          <w:szCs w:val="30"/>
          <w:spacing w:val="-1"/>
        </w:rPr>
        <w:t>以及基金补贴外的电子废弃物(包括政企单位涉密资料、固定资</w:t>
      </w:r>
      <w:r>
        <w:rPr>
          <w:rFonts w:ascii="FangSong" w:hAnsi="FangSong" w:eastAsia="FangSong" w:cs="FangSong"/>
          <w:sz w:val="30"/>
          <w:szCs w:val="30"/>
          <w:spacing w:val="18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"/>
        </w:rPr>
        <w:t>产处理与处置服务)。电废业务以实体产业为基础，以线下采销</w:t>
      </w:r>
      <w:r>
        <w:rPr>
          <w:rFonts w:ascii="FangSong" w:hAnsi="FangSong" w:eastAsia="FangSong" w:cs="FangSong"/>
          <w:sz w:val="30"/>
          <w:szCs w:val="30"/>
          <w:spacing w:val="2"/>
        </w:rPr>
        <w:t xml:space="preserve">  </w:t>
      </w:r>
      <w:r>
        <w:rPr>
          <w:rFonts w:ascii="FangSong" w:hAnsi="FangSong" w:eastAsia="FangSong" w:cs="FangSong"/>
          <w:sz w:val="30"/>
          <w:szCs w:val="30"/>
          <w:spacing w:val="-6"/>
        </w:rPr>
        <w:t>市场协同和线上易再生网交易平台为两翼，形成了覆盖回收、初</w:t>
      </w:r>
    </w:p>
    <w:p>
      <w:pPr>
        <w:spacing w:line="362" w:lineRule="auto"/>
        <w:sectPr>
          <w:footerReference w:type="default" r:id="rId3"/>
          <w:pgSz w:w="11900" w:h="16360"/>
          <w:pgMar w:top="1384" w:right="1721" w:bottom="1538" w:left="1785" w:header="0" w:footer="1399" w:gutter="0"/>
        </w:sectPr>
        <w:rPr>
          <w:rFonts w:ascii="FangSong" w:hAnsi="FangSong" w:eastAsia="FangSong" w:cs="FangSong"/>
          <w:sz w:val="30"/>
          <w:szCs w:val="30"/>
        </w:rPr>
      </w:pPr>
    </w:p>
    <w:p>
      <w:pPr>
        <w:pStyle w:val="BodyText"/>
        <w:ind w:left="41"/>
        <w:spacing w:before="168" w:line="355" w:lineRule="auto"/>
        <w:jc w:val="both"/>
        <w:rPr>
          <w:rFonts w:ascii="FangSong" w:hAnsi="FangSong" w:eastAsia="FangSong" w:cs="FangSong"/>
          <w:sz w:val="31"/>
          <w:szCs w:val="31"/>
        </w:rPr>
      </w:pPr>
      <w:bookmarkStart w:name="bookmark17" w:id="24"/>
      <w:bookmarkEnd w:id="24"/>
      <w:r>
        <w:rPr>
          <w:rFonts w:ascii="FangSong" w:hAnsi="FangSong" w:eastAsia="FangSong" w:cs="FangSong"/>
          <w:sz w:val="31"/>
          <w:szCs w:val="31"/>
          <w:spacing w:val="-16"/>
        </w:rPr>
        <w:t>加工和深加工全产业链的大格局。以“四机一脑”拆解为业务主</w:t>
      </w:r>
      <w:r>
        <w:rPr>
          <w:rFonts w:ascii="FangSong" w:hAnsi="FangSong" w:eastAsia="FangSong" w:cs="FangSong"/>
          <w:sz w:val="31"/>
          <w:szCs w:val="31"/>
          <w:spacing w:val="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0"/>
        </w:rPr>
        <w:t>体，通过“手动拆解+机械化破碎”的精细化</w:t>
      </w:r>
      <w:r>
        <w:rPr>
          <w:rFonts w:ascii="FangSong" w:hAnsi="FangSong" w:eastAsia="FangSong" w:cs="FangSong"/>
          <w:sz w:val="31"/>
          <w:szCs w:val="31"/>
          <w:spacing w:val="-11"/>
        </w:rPr>
        <w:t>拆解方式，采用从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6"/>
        </w:rPr>
        <w:t>回收到处理的全天候监管，实现了对电子废弃物的减量化</w:t>
      </w:r>
      <w:r>
        <w:rPr>
          <w:rFonts w:ascii="FangSong" w:hAnsi="FangSong" w:eastAsia="FangSong" w:cs="FangSong"/>
          <w:sz w:val="31"/>
          <w:szCs w:val="31"/>
          <w:spacing w:val="-17"/>
        </w:rPr>
        <w:t>、再利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6"/>
        </w:rPr>
        <w:t>用、再循环；同时不断延伸产业链条，推动产业深加工，开展铜</w:t>
      </w:r>
      <w:r>
        <w:rPr>
          <w:rFonts w:ascii="FangSong" w:hAnsi="FangSong" w:eastAsia="FangSong" w:cs="FangSong"/>
          <w:sz w:val="31"/>
          <w:szCs w:val="31"/>
          <w:spacing w:val="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8"/>
        </w:rPr>
        <w:t>铝深加工、</w:t>
      </w:r>
      <w:r>
        <w:rPr>
          <w:rFonts w:ascii="Times New Roman" w:hAnsi="Times New Roman" w:eastAsia="Times New Roman" w:cs="Times New Roman"/>
          <w:sz w:val="31"/>
          <w:szCs w:val="31"/>
          <w:spacing w:val="-18"/>
        </w:rPr>
        <w:t>PCB  </w:t>
      </w:r>
      <w:r>
        <w:rPr>
          <w:rFonts w:ascii="FangSong" w:hAnsi="FangSong" w:eastAsia="FangSong" w:cs="FangSong"/>
          <w:sz w:val="31"/>
          <w:szCs w:val="31"/>
          <w:spacing w:val="-18"/>
        </w:rPr>
        <w:t>处理、塑料造粒深加工，深挖产业潜力价值。公</w:t>
      </w:r>
      <w:r>
        <w:rPr>
          <w:rFonts w:ascii="FangSong" w:hAnsi="FangSong" w:eastAsia="FangSong" w:cs="FangSong"/>
          <w:sz w:val="31"/>
          <w:szCs w:val="31"/>
          <w:spacing w:val="1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0"/>
        </w:rPr>
        <w:t>司主营业务为四机一脑拆解，共有5条拆解线，</w:t>
      </w:r>
      <w:r>
        <w:rPr>
          <w:rFonts w:ascii="FangSong" w:hAnsi="FangSong" w:eastAsia="FangSong" w:cs="FangSong"/>
          <w:sz w:val="31"/>
          <w:szCs w:val="31"/>
          <w:spacing w:val="-11"/>
        </w:rPr>
        <w:t>年最大处理能力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0"/>
        </w:rPr>
        <w:t>为150万台/年，目前持有的废弃电器电子产品拆解</w:t>
      </w:r>
      <w:r>
        <w:rPr>
          <w:sz w:val="31"/>
          <w:szCs w:val="31"/>
          <w:spacing w:val="-10"/>
        </w:rPr>
        <w:t>CRT</w:t>
      </w:r>
      <w:r>
        <w:rPr>
          <w:rFonts w:ascii="FangSong" w:hAnsi="FangSong" w:eastAsia="FangSong" w:cs="FangSong"/>
          <w:sz w:val="31"/>
          <w:szCs w:val="31"/>
          <w:spacing w:val="-10"/>
        </w:rPr>
        <w:t>电视机/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4"/>
        </w:rPr>
        <w:t>电脑、电冰箱、洗衣机、空调、液晶电视机/电脑资质</w:t>
      </w:r>
      <w:r>
        <w:rPr>
          <w:rFonts w:ascii="FangSong" w:hAnsi="FangSong" w:eastAsia="FangSong" w:cs="FangSong"/>
          <w:sz w:val="31"/>
          <w:szCs w:val="31"/>
          <w:spacing w:val="-15"/>
        </w:rPr>
        <w:t>为136.2万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7"/>
        </w:rPr>
        <w:t>台/年。现有设备工艺技术先进成熟可靠，废弃资源实现高值化、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6"/>
        </w:rPr>
        <w:t>高质化利用，主要再生资源回收利用率高，产品附加值高，技术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含量高，市场竞争力强。采用的设备设施先进完备、运转稳定，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6"/>
        </w:rPr>
        <w:t>回收利用自动化程度高、能源利用效率高、经济效益较好，装备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8"/>
        </w:rPr>
        <w:t>产业化示范效果明显。</w:t>
      </w:r>
    </w:p>
    <w:p>
      <w:pPr>
        <w:ind w:left="41" w:firstLine="639"/>
        <w:spacing w:before="122" w:line="354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4"/>
        </w:rPr>
        <w:t>哈尔滨群勤秉承“保护环境，资源再生利用”的环保理念，</w:t>
      </w:r>
      <w:r>
        <w:rPr>
          <w:rFonts w:ascii="FangSong" w:hAnsi="FangSong" w:eastAsia="FangSong" w:cs="FangSong"/>
          <w:sz w:val="31"/>
          <w:szCs w:val="31"/>
          <w:spacing w:val="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4"/>
        </w:rPr>
        <w:t>减少废弃电子废弃物非法拆解对环境造成的</w:t>
      </w:r>
      <w:r>
        <w:rPr>
          <w:rFonts w:ascii="FangSong" w:hAnsi="FangSong" w:eastAsia="FangSong" w:cs="FangSong"/>
          <w:sz w:val="31"/>
          <w:szCs w:val="31"/>
          <w:spacing w:val="-15"/>
        </w:rPr>
        <w:t>破坏，促进电子设备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5"/>
        </w:rPr>
        <w:t>的处置变废为宝再利用的思路，按照国家对废旧电子设备“资源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5"/>
        </w:rPr>
        <w:t>化、无害化”的处置要求，将废旧电子设备无害化处置应用作为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5"/>
        </w:rPr>
        <w:t>公司长期发展项目。群勤环保的目标是进一步整合资源，拓宽企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6"/>
        </w:rPr>
        <w:t>业经营范围，根据国家有关法律、法规逐步实现电子类废弃物无</w:t>
      </w:r>
      <w:r>
        <w:rPr>
          <w:rFonts w:ascii="FangSong" w:hAnsi="FangSong" w:eastAsia="FangSong" w:cs="FangSong"/>
          <w:sz w:val="31"/>
          <w:szCs w:val="31"/>
          <w:spacing w:val="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6"/>
        </w:rPr>
        <w:t>害化、集约化、规模化回收和处理，避免形成二次污染，为环保</w:t>
      </w:r>
      <w:r>
        <w:rPr>
          <w:rFonts w:ascii="FangSong" w:hAnsi="FangSong" w:eastAsia="FangSong" w:cs="FangSong"/>
          <w:sz w:val="31"/>
          <w:szCs w:val="31"/>
          <w:spacing w:val="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7"/>
        </w:rPr>
        <w:t>作出贡献。还在各生产车间安装了除尘设备，按设备维护保养规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4"/>
        </w:rPr>
        <w:t>程做好除尘设备的维护保养和检修工作。同时，公</w:t>
      </w:r>
      <w:r>
        <w:rPr>
          <w:rFonts w:ascii="FangSong" w:hAnsi="FangSong" w:eastAsia="FangSong" w:cs="FangSong"/>
          <w:sz w:val="31"/>
          <w:szCs w:val="31"/>
          <w:spacing w:val="-15"/>
        </w:rPr>
        <w:t>司自投产后一</w:t>
      </w:r>
    </w:p>
    <w:p>
      <w:pPr>
        <w:spacing w:line="354" w:lineRule="auto"/>
        <w:sectPr>
          <w:footerReference w:type="default" r:id="rId4"/>
          <w:pgSz w:w="11920" w:h="16380"/>
          <w:pgMar w:top="1392" w:right="1745" w:bottom="1559" w:left="1788" w:header="0" w:footer="1419" w:gutter="0"/>
        </w:sectPr>
        <w:rPr>
          <w:rFonts w:ascii="FangSong" w:hAnsi="FangSong" w:eastAsia="FangSong" w:cs="FangSong"/>
          <w:sz w:val="31"/>
          <w:szCs w:val="31"/>
        </w:rPr>
      </w:pPr>
    </w:p>
    <w:p>
      <w:pPr>
        <w:ind w:left="168"/>
        <w:spacing w:before="260" w:line="348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12"/>
        </w:rPr>
        <w:t>直严格按照环评要求进行环境监测，并及时将监测信息进行公示、</w:t>
      </w:r>
      <w:r>
        <w:rPr>
          <w:rFonts w:ascii="FangSong" w:hAnsi="FangSong" w:eastAsia="FangSong" w:cs="FangSong"/>
          <w:sz w:val="28"/>
          <w:szCs w:val="28"/>
          <w:spacing w:val="1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11"/>
        </w:rPr>
        <w:t>上报各级环保部门备案。</w:t>
      </w:r>
    </w:p>
    <w:p>
      <w:pPr>
        <w:ind w:left="932"/>
        <w:spacing w:before="1" w:line="222" w:lineRule="auto"/>
        <w:rPr>
          <w:rFonts w:ascii="KaiTi" w:hAnsi="KaiTi" w:eastAsia="KaiTi" w:cs="KaiTi"/>
          <w:sz w:val="33"/>
          <w:szCs w:val="33"/>
        </w:rPr>
      </w:pPr>
      <w:bookmarkStart w:name="bookmark18" w:id="25"/>
      <w:bookmarkEnd w:id="25"/>
      <w:r>
        <w:rPr>
          <w:rFonts w:ascii="KaiTi" w:hAnsi="KaiTi" w:eastAsia="KaiTi" w:cs="KaiTi"/>
          <w:sz w:val="33"/>
          <w:szCs w:val="33"/>
          <w:b/>
          <w:bCs/>
          <w:spacing w:val="2"/>
        </w:rPr>
        <w:t>(二)社会责任管理</w:t>
      </w:r>
    </w:p>
    <w:p>
      <w:pPr>
        <w:ind w:left="168" w:right="196" w:firstLine="559"/>
        <w:spacing w:before="235" w:line="338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4"/>
        </w:rPr>
        <w:t>公司在发展壮大的同时，尊崇企业社会责任，将企</w:t>
      </w:r>
      <w:r>
        <w:rPr>
          <w:rFonts w:ascii="FangSong" w:hAnsi="FangSong" w:eastAsia="FangSong" w:cs="FangSong"/>
          <w:sz w:val="28"/>
          <w:szCs w:val="28"/>
          <w:spacing w:val="-5"/>
        </w:rPr>
        <w:t>业社会责任作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为公司基本价值理念。在满足利益相关方要</w:t>
      </w:r>
      <w:r>
        <w:rPr>
          <w:rFonts w:ascii="FangSong" w:hAnsi="FangSong" w:eastAsia="FangSong" w:cs="FangSong"/>
          <w:sz w:val="28"/>
          <w:szCs w:val="28"/>
          <w:spacing w:val="-6"/>
        </w:rPr>
        <w:t>求的前提下，兼顾回报社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会，注重企业的社会价值，强化企业对社会的责任感和使命感，将履</w:t>
      </w:r>
      <w:r>
        <w:rPr>
          <w:rFonts w:ascii="FangSong" w:hAnsi="FangSong" w:eastAsia="FangSong" w:cs="FangSong"/>
          <w:sz w:val="28"/>
          <w:szCs w:val="28"/>
          <w:spacing w:val="1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行社会责任作为企业可持续发展和提升核心竞争力的重要举措，</w:t>
      </w:r>
      <w:r>
        <w:rPr>
          <w:rFonts w:ascii="FangSong" w:hAnsi="FangSong" w:eastAsia="FangSong" w:cs="FangSong"/>
          <w:sz w:val="28"/>
          <w:szCs w:val="28"/>
          <w:spacing w:val="-5"/>
        </w:rPr>
        <w:t>使其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与公司发展战略、生产经营和企业文化相融合，努力实现企业发展与</w:t>
      </w:r>
      <w:r>
        <w:rPr>
          <w:rFonts w:ascii="FangSong" w:hAnsi="FangSong" w:eastAsia="FangSong" w:cs="FangSong"/>
          <w:sz w:val="28"/>
          <w:szCs w:val="28"/>
          <w:spacing w:val="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员工成长、生态环保、社会和谐的协调统一。</w:t>
      </w:r>
    </w:p>
    <w:p>
      <w:pPr>
        <w:ind w:left="962"/>
        <w:spacing w:before="65" w:line="226" w:lineRule="auto"/>
        <w:outlineLvl w:val="0"/>
        <w:rPr>
          <w:rFonts w:ascii="KaiTi" w:hAnsi="KaiTi" w:eastAsia="KaiTi" w:cs="KaiTi"/>
          <w:sz w:val="33"/>
          <w:szCs w:val="33"/>
        </w:rPr>
      </w:pPr>
      <w:bookmarkStart w:name="bookmark3" w:id="26"/>
      <w:bookmarkEnd w:id="26"/>
      <w:r>
        <w:rPr>
          <w:rFonts w:ascii="KaiTi" w:hAnsi="KaiTi" w:eastAsia="KaiTi" w:cs="KaiTi"/>
          <w:sz w:val="33"/>
          <w:szCs w:val="33"/>
          <w:b/>
          <w:bCs/>
          <w:spacing w:val="2"/>
        </w:rPr>
        <w:t>(三)完善公司治理</w:t>
      </w:r>
    </w:p>
    <w:p>
      <w:pPr>
        <w:ind w:left="168" w:right="218" w:firstLine="559"/>
        <w:spacing w:before="229" w:line="336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5"/>
        </w:rPr>
        <w:t>公司严格按照《公司法》、《公司章程》等法律法规及有关规定运</w:t>
      </w:r>
      <w:r>
        <w:rPr>
          <w:rFonts w:ascii="FangSong" w:hAnsi="FangSong" w:eastAsia="FangSong" w:cs="FangSong"/>
          <w:sz w:val="28"/>
          <w:szCs w:val="28"/>
          <w:spacing w:val="1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营，公司将根据业务范围、竞争状况和风险水平等因素状</w:t>
      </w:r>
      <w:r>
        <w:rPr>
          <w:rFonts w:ascii="FangSong" w:hAnsi="FangSong" w:eastAsia="FangSong" w:cs="FangSong"/>
          <w:sz w:val="28"/>
          <w:szCs w:val="28"/>
          <w:spacing w:val="-6"/>
        </w:rPr>
        <w:t>况以及外部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市场环境的变化，建立完整有效的内部管理与控制制度体系，明确决</w:t>
      </w:r>
      <w:r>
        <w:rPr>
          <w:rFonts w:ascii="FangSong" w:hAnsi="FangSong" w:eastAsia="FangSong" w:cs="FangSong"/>
          <w:sz w:val="28"/>
          <w:szCs w:val="28"/>
          <w:spacing w:val="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策、执行和监督各方的职责与权限，形成有效的职责分工，以此提升</w:t>
      </w:r>
      <w:r>
        <w:rPr>
          <w:rFonts w:ascii="FangSong" w:hAnsi="FangSong" w:eastAsia="FangSong" w:cs="FangSong"/>
          <w:sz w:val="28"/>
          <w:szCs w:val="28"/>
          <w:spacing w:val="1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规范运作水平，切实保障公司及相关利益方的合法</w:t>
      </w:r>
      <w:r>
        <w:rPr>
          <w:rFonts w:ascii="FangSong" w:hAnsi="FangSong" w:eastAsia="FangSong" w:cs="FangSong"/>
          <w:sz w:val="28"/>
          <w:szCs w:val="28"/>
          <w:spacing w:val="-4"/>
        </w:rPr>
        <w:t>权益。</w:t>
      </w:r>
    </w:p>
    <w:p>
      <w:pPr>
        <w:ind w:left="172"/>
        <w:spacing w:before="67" w:line="219" w:lineRule="auto"/>
        <w:outlineLvl w:val="0"/>
        <w:rPr>
          <w:rFonts w:ascii="SimHei" w:hAnsi="SimHei" w:eastAsia="SimHei" w:cs="SimHei"/>
          <w:sz w:val="33"/>
          <w:szCs w:val="33"/>
        </w:rPr>
      </w:pPr>
      <w:bookmarkStart w:name="bookmark4" w:id="27"/>
      <w:bookmarkEnd w:id="27"/>
      <w:r>
        <w:rPr>
          <w:rFonts w:ascii="SimHei" w:hAnsi="SimHei" w:eastAsia="SimHei" w:cs="SimHei"/>
          <w:sz w:val="33"/>
          <w:szCs w:val="33"/>
          <w:b/>
          <w:bCs/>
          <w:spacing w:val="-20"/>
        </w:rPr>
        <w:t>二、权益保护执行情况</w:t>
      </w:r>
    </w:p>
    <w:p>
      <w:pPr>
        <w:ind w:left="637"/>
        <w:spacing w:before="217" w:line="227" w:lineRule="auto"/>
        <w:outlineLvl w:val="0"/>
        <w:rPr>
          <w:rFonts w:ascii="KaiTi" w:hAnsi="KaiTi" w:eastAsia="KaiTi" w:cs="KaiTi"/>
          <w:sz w:val="33"/>
          <w:szCs w:val="33"/>
        </w:rPr>
      </w:pPr>
      <w:bookmarkStart w:name="bookmark5" w:id="28"/>
      <w:bookmarkEnd w:id="28"/>
      <w:r>
        <w:rPr>
          <w:rFonts w:ascii="KaiTi" w:hAnsi="KaiTi" w:eastAsia="KaiTi" w:cs="KaiTi"/>
          <w:sz w:val="33"/>
          <w:szCs w:val="33"/>
          <w:spacing w:val="10"/>
        </w:rPr>
        <w:t>(一)债权人保护</w:t>
      </w:r>
    </w:p>
    <w:p>
      <w:pPr>
        <w:ind w:left="168" w:right="213" w:firstLine="559"/>
        <w:spacing w:before="216" w:line="332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公司在注重对股东权益保护的同时，也高度重视对债权人</w:t>
      </w:r>
      <w:r>
        <w:rPr>
          <w:rFonts w:ascii="FangSong" w:hAnsi="FangSong" w:eastAsia="FangSong" w:cs="FangSong"/>
          <w:sz w:val="28"/>
          <w:szCs w:val="28"/>
          <w:spacing w:val="-6"/>
        </w:rPr>
        <w:t>合法权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益的保护。公司依法制定了财务管理制度和会计核算规范，确保公司</w:t>
      </w:r>
      <w:r>
        <w:rPr>
          <w:rFonts w:ascii="FangSong" w:hAnsi="FangSong" w:eastAsia="FangSong" w:cs="FangSong"/>
          <w:sz w:val="28"/>
          <w:szCs w:val="28"/>
          <w:spacing w:val="1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财务稳健，保障公司资产、资金安全。</w:t>
      </w:r>
    </w:p>
    <w:p>
      <w:pPr>
        <w:ind w:left="642"/>
        <w:spacing w:before="35" w:line="229" w:lineRule="auto"/>
        <w:outlineLvl w:val="0"/>
        <w:rPr>
          <w:rFonts w:ascii="KaiTi" w:hAnsi="KaiTi" w:eastAsia="KaiTi" w:cs="KaiTi"/>
          <w:sz w:val="33"/>
          <w:szCs w:val="33"/>
        </w:rPr>
      </w:pPr>
      <w:bookmarkStart w:name="bookmark6" w:id="29"/>
      <w:bookmarkEnd w:id="29"/>
      <w:r>
        <w:rPr>
          <w:rFonts w:ascii="KaiTi" w:hAnsi="KaiTi" w:eastAsia="KaiTi" w:cs="KaiTi"/>
          <w:sz w:val="33"/>
          <w:szCs w:val="33"/>
          <w:b/>
          <w:bCs/>
          <w:spacing w:val="1"/>
        </w:rPr>
        <w:t>(二)股东权益保护</w:t>
      </w:r>
    </w:p>
    <w:p>
      <w:pPr>
        <w:ind w:left="727"/>
        <w:spacing w:before="200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6"/>
        </w:rPr>
        <w:t>1、</w:t>
      </w:r>
      <w:r>
        <w:rPr>
          <w:rFonts w:ascii="FangSong" w:hAnsi="FangSong" w:eastAsia="FangSong" w:cs="FangSong"/>
          <w:sz w:val="28"/>
          <w:szCs w:val="28"/>
          <w:spacing w:val="-6"/>
        </w:rPr>
        <w:t>健全组织架构，规范公司治理。</w:t>
      </w:r>
    </w:p>
    <w:p>
      <w:pPr>
        <w:ind w:left="168" w:right="220" w:firstLine="559"/>
        <w:spacing w:before="187" w:line="349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科学、规范、系统、高效的公司治理是促进企业平稳发展、</w:t>
      </w:r>
      <w:r>
        <w:rPr>
          <w:rFonts w:ascii="FangSong" w:hAnsi="FangSong" w:eastAsia="FangSong" w:cs="FangSong"/>
          <w:sz w:val="28"/>
          <w:szCs w:val="28"/>
          <w:spacing w:val="-6"/>
        </w:rPr>
        <w:t>稳定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回报投资者、切实履行企业社会责任的基本前提和重要保障。公司严</w:t>
      </w:r>
    </w:p>
    <w:p>
      <w:pPr>
        <w:spacing w:line="349" w:lineRule="auto"/>
        <w:sectPr>
          <w:footerReference w:type="default" r:id="rId5"/>
          <w:pgSz w:w="12080" w:h="16530"/>
          <w:pgMar w:top="1405" w:right="1619" w:bottom="1649" w:left="1812" w:header="0" w:footer="1531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ind w:left="14" w:right="45"/>
        <w:spacing w:before="75" w:line="337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格按照《公司法》和《公司章程》等相关法律法规及规定的要求，建</w:t>
      </w:r>
      <w:r>
        <w:rPr>
          <w:rFonts w:ascii="FangSong" w:hAnsi="FangSong" w:eastAsia="FangSong" w:cs="FangSong"/>
          <w:sz w:val="28"/>
          <w:szCs w:val="28"/>
          <w:spacing w:val="1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立权责分明、各司其职、相互制衡、科学决策、协调运作的公司治理</w:t>
      </w:r>
      <w:r>
        <w:rPr>
          <w:rFonts w:ascii="FangSong" w:hAnsi="FangSong" w:eastAsia="FangSong" w:cs="FangSong"/>
          <w:sz w:val="28"/>
          <w:szCs w:val="28"/>
          <w:spacing w:val="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架构，通过不断完善内部控制制度体系建设，履行决策、管理与监督</w:t>
      </w:r>
      <w:r>
        <w:rPr>
          <w:rFonts w:ascii="FangSong" w:hAnsi="FangSong" w:eastAsia="FangSong" w:cs="FangSong"/>
          <w:sz w:val="28"/>
          <w:szCs w:val="28"/>
          <w:spacing w:val="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职能，使公司成为产权明晰、权责明确、管理科学的法人实体和市场</w:t>
      </w:r>
      <w:r>
        <w:rPr>
          <w:rFonts w:ascii="FangSong" w:hAnsi="FangSong" w:eastAsia="FangSong" w:cs="FangSong"/>
          <w:sz w:val="28"/>
          <w:szCs w:val="28"/>
          <w:spacing w:val="1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1"/>
        </w:rPr>
        <w:t>竞争主体。</w:t>
      </w:r>
    </w:p>
    <w:p>
      <w:pPr>
        <w:ind w:left="499"/>
        <w:spacing w:before="61" w:line="227" w:lineRule="auto"/>
        <w:outlineLvl w:val="0"/>
        <w:rPr>
          <w:rFonts w:ascii="KaiTi" w:hAnsi="KaiTi" w:eastAsia="KaiTi" w:cs="KaiTi"/>
          <w:sz w:val="33"/>
          <w:szCs w:val="33"/>
        </w:rPr>
      </w:pPr>
      <w:bookmarkStart w:name="bookmark19" w:id="30"/>
      <w:bookmarkEnd w:id="30"/>
      <w:bookmarkStart w:name="bookmark7" w:id="31"/>
      <w:bookmarkEnd w:id="31"/>
      <w:r>
        <w:rPr>
          <w:rFonts w:ascii="KaiTi" w:hAnsi="KaiTi" w:eastAsia="KaiTi" w:cs="KaiTi"/>
          <w:sz w:val="33"/>
          <w:szCs w:val="33"/>
          <w:b/>
          <w:bCs/>
          <w:spacing w:val="-1"/>
        </w:rPr>
        <w:t>(三)员工权益保护</w:t>
      </w:r>
    </w:p>
    <w:p>
      <w:pPr>
        <w:ind w:left="14" w:right="35" w:firstLine="540"/>
        <w:spacing w:before="203" w:line="34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5"/>
        </w:rPr>
        <w:t>公司严格遵守《中华人民共和国劳动合同法》、《中华人民共和国</w:t>
      </w:r>
      <w:r>
        <w:rPr>
          <w:rFonts w:ascii="FangSong" w:hAnsi="FangSong" w:eastAsia="FangSong" w:cs="FangSong"/>
          <w:sz w:val="28"/>
          <w:szCs w:val="28"/>
          <w:spacing w:val="1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社会保险法》等国家有关劳动用工和职工权益保护的各项法律法</w:t>
      </w:r>
      <w:r>
        <w:rPr>
          <w:rFonts w:ascii="FangSong" w:hAnsi="FangSong" w:eastAsia="FangSong" w:cs="FangSong"/>
          <w:sz w:val="28"/>
          <w:szCs w:val="28"/>
          <w:spacing w:val="-5"/>
        </w:rPr>
        <w:t>规，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严格执行国家有关用工、社会保障、劳动安全卫生等方面的规定及标</w:t>
      </w:r>
      <w:r>
        <w:rPr>
          <w:rFonts w:ascii="FangSong" w:hAnsi="FangSong" w:eastAsia="FangSong" w:cs="FangSong"/>
          <w:sz w:val="28"/>
          <w:szCs w:val="28"/>
          <w:spacing w:val="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准，关心关爱员工，积极改善工作环境，加强劳动保护，注重人才培</w:t>
      </w:r>
      <w:r>
        <w:rPr>
          <w:rFonts w:ascii="FangSong" w:hAnsi="FangSong" w:eastAsia="FangSong" w:cs="FangSong"/>
          <w:sz w:val="28"/>
          <w:szCs w:val="28"/>
          <w:spacing w:val="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养，重视人文关怀，实施人性化管理。</w:t>
      </w:r>
    </w:p>
    <w:p>
      <w:pPr>
        <w:ind w:left="555"/>
        <w:spacing w:before="68" w:line="219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6"/>
        </w:rPr>
        <w:t>1、</w:t>
      </w:r>
      <w:r>
        <w:rPr>
          <w:rFonts w:ascii="FangSong" w:hAnsi="FangSong" w:eastAsia="FangSong" w:cs="FangSong"/>
          <w:sz w:val="28"/>
          <w:szCs w:val="28"/>
          <w:spacing w:val="-6"/>
        </w:rPr>
        <w:t>建立市场化薪酬体系，增强员工获得感。</w:t>
      </w:r>
    </w:p>
    <w:p>
      <w:pPr>
        <w:ind w:left="14" w:right="4" w:firstLine="540"/>
        <w:spacing w:before="202" w:line="335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3"/>
        </w:rPr>
        <w:t>公司坚持发展成果与员工共享，着重体现岗位价值、个人贡献、</w:t>
      </w:r>
      <w:r>
        <w:rPr>
          <w:rFonts w:ascii="FangSong" w:hAnsi="FangSong" w:eastAsia="FangSong" w:cs="FangSong"/>
          <w:sz w:val="28"/>
          <w:szCs w:val="28"/>
          <w:spacing w:val="1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业绩导向和市场竞争力，共同致力于企业成长，共享企业发展成果。</w:t>
      </w:r>
    </w:p>
    <w:p>
      <w:pPr>
        <w:ind w:left="555"/>
        <w:spacing w:before="31" w:line="221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5"/>
        </w:rPr>
        <w:t>2、</w:t>
      </w:r>
      <w:r>
        <w:rPr>
          <w:rFonts w:ascii="FangSong" w:hAnsi="FangSong" w:eastAsia="FangSong" w:cs="FangSong"/>
          <w:sz w:val="28"/>
          <w:szCs w:val="28"/>
          <w:spacing w:val="-5"/>
        </w:rPr>
        <w:t>遵守法律法规，保障员工权益。</w:t>
      </w:r>
    </w:p>
    <w:p>
      <w:pPr>
        <w:ind w:left="14" w:right="63" w:firstLine="540"/>
        <w:spacing w:before="205" w:line="33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5"/>
        </w:rPr>
        <w:t>公司严格执行《中华人民共和国劳动合同法》、《中华人民共和国</w:t>
      </w:r>
      <w:r>
        <w:rPr>
          <w:rFonts w:ascii="FangSong" w:hAnsi="FangSong" w:eastAsia="FangSong" w:cs="FangSong"/>
          <w:sz w:val="28"/>
          <w:szCs w:val="28"/>
          <w:spacing w:val="1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社会保险法》等相关国家法律法规和规章制度，持续构建和谐劳动关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7"/>
        </w:rPr>
        <w:t>系，切实维护劳动者权益。</w:t>
      </w:r>
    </w:p>
    <w:p>
      <w:pPr>
        <w:ind w:left="555"/>
        <w:spacing w:before="67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4"/>
        </w:rPr>
        <w:t>3、</w:t>
      </w:r>
      <w:r>
        <w:rPr>
          <w:rFonts w:ascii="FangSong" w:hAnsi="FangSong" w:eastAsia="FangSong" w:cs="FangSong"/>
          <w:sz w:val="28"/>
          <w:szCs w:val="28"/>
          <w:spacing w:val="-4"/>
        </w:rPr>
        <w:t>强化人才培育，助力企业发展。</w:t>
      </w:r>
    </w:p>
    <w:p>
      <w:pPr>
        <w:ind w:left="14" w:right="60" w:firstLine="540"/>
        <w:spacing w:before="189" w:line="339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通过开展集体学习培训班、基层锻炼、定期考核、在线学习平台</w:t>
      </w:r>
      <w:r>
        <w:rPr>
          <w:rFonts w:ascii="FangSong" w:hAnsi="FangSong" w:eastAsia="FangSong" w:cs="FangSong"/>
          <w:sz w:val="28"/>
          <w:szCs w:val="28"/>
          <w:spacing w:val="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等线上和线下培训形式，较好地推动公司职工教育培训工作，培训内</w:t>
      </w:r>
      <w:r>
        <w:rPr>
          <w:rFonts w:ascii="FangSong" w:hAnsi="FangSong" w:eastAsia="FangSong" w:cs="FangSong"/>
          <w:sz w:val="28"/>
          <w:szCs w:val="28"/>
          <w:spacing w:val="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容涉及员工素质提升、投资项目管理、财务管理、</w:t>
      </w:r>
      <w:r>
        <w:rPr>
          <w:rFonts w:ascii="FangSong" w:hAnsi="FangSong" w:eastAsia="FangSong" w:cs="FangSong"/>
          <w:sz w:val="28"/>
          <w:szCs w:val="28"/>
          <w:spacing w:val="-6"/>
        </w:rPr>
        <w:t>营销管理、智能与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信息化、安全生产与能源环保、碳达峰基础知识、超低排放、能</w:t>
      </w:r>
      <w:r>
        <w:rPr>
          <w:rFonts w:ascii="FangSong" w:hAnsi="FangSong" w:eastAsia="FangSong" w:cs="FangSong"/>
          <w:sz w:val="28"/>
          <w:szCs w:val="28"/>
          <w:spacing w:val="-6"/>
        </w:rPr>
        <w:t>耗限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额标准及碳排放管理等各类专业知识的培训；培训学员范围广</w:t>
      </w:r>
      <w:r>
        <w:rPr>
          <w:rFonts w:ascii="FangSong" w:hAnsi="FangSong" w:eastAsia="FangSong" w:cs="FangSong"/>
          <w:sz w:val="28"/>
          <w:szCs w:val="28"/>
          <w:spacing w:val="-6"/>
        </w:rPr>
        <w:t>，覆盖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7"/>
        </w:rPr>
        <w:t>不同层级、不同专业各类职工。</w:t>
      </w:r>
    </w:p>
    <w:p>
      <w:pPr>
        <w:spacing w:line="339" w:lineRule="auto"/>
        <w:sectPr>
          <w:footerReference w:type="default" r:id="rId6"/>
          <w:pgSz w:w="11900" w:h="16400"/>
          <w:pgMar w:top="1393" w:right="1785" w:bottom="1557" w:left="1785" w:header="0" w:footer="1419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ind w:left="572"/>
        <w:spacing w:before="77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5"/>
        </w:rPr>
        <w:t>4、</w:t>
      </w:r>
      <w:r>
        <w:rPr>
          <w:rFonts w:ascii="FangSong" w:hAnsi="FangSong" w:eastAsia="FangSong" w:cs="FangSong"/>
          <w:sz w:val="28"/>
          <w:szCs w:val="28"/>
          <w:spacing w:val="-5"/>
        </w:rPr>
        <w:t>公司坚持以人为本。</w:t>
      </w:r>
    </w:p>
    <w:p>
      <w:pPr>
        <w:ind w:left="41" w:right="216" w:firstLine="530"/>
        <w:spacing w:before="190" w:line="34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公司高度注重文化品质和文化内涵，注重全面展示职工的精神风</w:t>
      </w:r>
      <w:r>
        <w:rPr>
          <w:rFonts w:ascii="FangSong" w:hAnsi="FangSong" w:eastAsia="FangSong" w:cs="FangSong"/>
          <w:sz w:val="28"/>
          <w:szCs w:val="28"/>
          <w:spacing w:val="1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貌，让企业文化理念渗透到员工业余文化生活当中</w:t>
      </w:r>
      <w:r>
        <w:rPr>
          <w:rFonts w:ascii="FangSong" w:hAnsi="FangSong" w:eastAsia="FangSong" w:cs="FangSong"/>
          <w:sz w:val="28"/>
          <w:szCs w:val="28"/>
          <w:spacing w:val="-5"/>
        </w:rPr>
        <w:t>，通过开展多种形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式的文化活动，将企业文化展现出来，以文化凝聚人</w:t>
      </w:r>
      <w:r>
        <w:rPr>
          <w:rFonts w:ascii="FangSong" w:hAnsi="FangSong" w:eastAsia="FangSong" w:cs="FangSong"/>
          <w:sz w:val="28"/>
          <w:szCs w:val="28"/>
          <w:spacing w:val="-6"/>
        </w:rPr>
        <w:t>心，营造“正能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量”氛围，有效增强员工集体荣誉感和企业凝聚力。</w:t>
      </w:r>
    </w:p>
    <w:p>
      <w:pPr>
        <w:ind w:left="506"/>
        <w:spacing w:before="42" w:line="224" w:lineRule="auto"/>
        <w:outlineLvl w:val="0"/>
        <w:rPr>
          <w:rFonts w:ascii="KaiTi" w:hAnsi="KaiTi" w:eastAsia="KaiTi" w:cs="KaiTi"/>
          <w:sz w:val="33"/>
          <w:szCs w:val="33"/>
        </w:rPr>
      </w:pPr>
      <w:bookmarkStart w:name="bookmark20" w:id="32"/>
      <w:bookmarkEnd w:id="32"/>
      <w:bookmarkStart w:name="bookmark8" w:id="33"/>
      <w:bookmarkEnd w:id="33"/>
      <w:r>
        <w:rPr>
          <w:rFonts w:ascii="KaiTi" w:hAnsi="KaiTi" w:eastAsia="KaiTi" w:cs="KaiTi"/>
          <w:sz w:val="33"/>
          <w:szCs w:val="33"/>
          <w:b/>
          <w:bCs/>
          <w:spacing w:val="1"/>
        </w:rPr>
        <w:t>(四)供应商权益保护</w:t>
      </w:r>
    </w:p>
    <w:p>
      <w:pPr>
        <w:ind w:left="41" w:right="242" w:firstLine="530"/>
        <w:spacing w:before="213" w:line="337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公司始终坚持共创、共赢的合作理念，本着公开、公平、公正的</w:t>
      </w:r>
      <w:r>
        <w:rPr>
          <w:rFonts w:ascii="FangSong" w:hAnsi="FangSong" w:eastAsia="FangSong" w:cs="FangSong"/>
          <w:sz w:val="28"/>
          <w:szCs w:val="28"/>
          <w:spacing w:val="1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原则选择合作供应商，注重保护供应商的合法权益，并对供应商的行</w:t>
      </w:r>
      <w:r>
        <w:rPr>
          <w:rFonts w:ascii="FangSong" w:hAnsi="FangSong" w:eastAsia="FangSong" w:cs="FangSong"/>
          <w:sz w:val="28"/>
          <w:szCs w:val="28"/>
          <w:spacing w:val="1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为进行监督，逐步淘汰劣质供应商，加强与优</w:t>
      </w:r>
      <w:r>
        <w:rPr>
          <w:rFonts w:ascii="FangSong" w:hAnsi="FangSong" w:eastAsia="FangSong" w:cs="FangSong"/>
          <w:sz w:val="28"/>
          <w:szCs w:val="28"/>
          <w:spacing w:val="-6"/>
        </w:rPr>
        <w:t>质供应商的合作伙伴关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7"/>
        </w:rPr>
        <w:t>系。</w:t>
      </w:r>
    </w:p>
    <w:p>
      <w:pPr>
        <w:ind w:left="41" w:right="219" w:firstLine="530"/>
        <w:spacing w:before="93" w:line="339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6"/>
        </w:rPr>
        <w:t>为了有效地评价和选择合格供应商，优化公司供应结构，完善公</w:t>
      </w:r>
      <w:r>
        <w:rPr>
          <w:rFonts w:ascii="FangSong" w:hAnsi="FangSong" w:eastAsia="FangSong" w:cs="FangSong"/>
          <w:sz w:val="28"/>
          <w:szCs w:val="28"/>
          <w:spacing w:val="1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司供应体系，提高供应水平，确保供应商的供货质</w:t>
      </w:r>
      <w:r>
        <w:rPr>
          <w:rFonts w:ascii="FangSong" w:hAnsi="FangSong" w:eastAsia="FangSong" w:cs="FangSong"/>
          <w:sz w:val="28"/>
          <w:szCs w:val="28"/>
          <w:spacing w:val="-6"/>
        </w:rPr>
        <w:t>量、价格、生产交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付能力能持续符合公司要求，并能提供优质的售后服务，以保证公司</w:t>
      </w:r>
      <w:r>
        <w:rPr>
          <w:rFonts w:ascii="FangSong" w:hAnsi="FangSong" w:eastAsia="FangSong" w:cs="FangSong"/>
          <w:sz w:val="28"/>
          <w:szCs w:val="28"/>
          <w:spacing w:val="1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正常生产的需要；公司建立《合格供应商名录》并完善了供应商管理</w:t>
      </w:r>
      <w:r>
        <w:rPr>
          <w:rFonts w:ascii="FangSong" w:hAnsi="FangSong" w:eastAsia="FangSong" w:cs="FangSong"/>
          <w:sz w:val="28"/>
          <w:szCs w:val="28"/>
          <w:spacing w:val="1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制度和供应商评估体系，对供应商的档案进</w:t>
      </w:r>
      <w:r>
        <w:rPr>
          <w:rFonts w:ascii="FangSong" w:hAnsi="FangSong" w:eastAsia="FangSong" w:cs="FangSong"/>
          <w:sz w:val="28"/>
          <w:szCs w:val="28"/>
          <w:spacing w:val="-5"/>
        </w:rPr>
        <w:t>行管理并及时更新，组织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供应商资质评定，对合格供应商的往来业务进行管理考核，并将样品</w:t>
      </w:r>
      <w:r>
        <w:rPr>
          <w:rFonts w:ascii="FangSong" w:hAnsi="FangSong" w:eastAsia="FangSong" w:cs="FangSong"/>
          <w:sz w:val="28"/>
          <w:szCs w:val="28"/>
          <w:spacing w:val="1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验证、供货质量管理等加入考核范围。</w:t>
      </w:r>
    </w:p>
    <w:p>
      <w:pPr>
        <w:ind w:left="41" w:firstLine="530"/>
        <w:spacing w:before="102" w:line="336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公司通过召开供应商沟通会议，邀请供应商代表发言，倾</w:t>
      </w:r>
      <w:r>
        <w:rPr>
          <w:rFonts w:ascii="FangSong" w:hAnsi="FangSong" w:eastAsia="FangSong" w:cs="FangSong"/>
          <w:sz w:val="28"/>
          <w:szCs w:val="28"/>
          <w:spacing w:val="-6"/>
        </w:rPr>
        <w:t>听供应</w:t>
      </w:r>
      <w:r>
        <w:rPr>
          <w:rFonts w:ascii="FangSong" w:hAnsi="FangSong" w:eastAsia="FangSong" w:cs="FangSong"/>
          <w:sz w:val="28"/>
          <w:szCs w:val="28"/>
        </w:rPr>
        <w:t xml:space="preserve">   </w:t>
      </w:r>
      <w:r>
        <w:rPr>
          <w:rFonts w:ascii="FangSong" w:hAnsi="FangSong" w:eastAsia="FangSong" w:cs="FangSong"/>
          <w:sz w:val="28"/>
          <w:szCs w:val="28"/>
          <w:spacing w:val="-6"/>
        </w:rPr>
        <w:t>商对公司供应链体系的改进建议，就合作中遇到的问题进行</w:t>
      </w:r>
      <w:r>
        <w:rPr>
          <w:rFonts w:ascii="FangSong" w:hAnsi="FangSong" w:eastAsia="FangSong" w:cs="FangSong"/>
          <w:sz w:val="28"/>
          <w:szCs w:val="28"/>
          <w:spacing w:val="-7"/>
        </w:rPr>
        <w:t>分组讨论，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对行业共同面临的问题进行沟通，并与供应商</w:t>
      </w:r>
      <w:r>
        <w:rPr>
          <w:rFonts w:ascii="FangSong" w:hAnsi="FangSong" w:eastAsia="FangSong" w:cs="FangSong"/>
          <w:sz w:val="28"/>
          <w:szCs w:val="28"/>
          <w:spacing w:val="-6"/>
        </w:rPr>
        <w:t>分享公司对供应链的要</w:t>
      </w:r>
      <w:r>
        <w:rPr>
          <w:rFonts w:ascii="FangSong" w:hAnsi="FangSong" w:eastAsia="FangSong" w:cs="FangSong"/>
          <w:sz w:val="28"/>
          <w:szCs w:val="28"/>
        </w:rPr>
        <w:t xml:space="preserve">  </w:t>
      </w:r>
      <w:r>
        <w:rPr>
          <w:rFonts w:ascii="FangSong" w:hAnsi="FangSong" w:eastAsia="FangSong" w:cs="FangSong"/>
          <w:sz w:val="28"/>
          <w:szCs w:val="28"/>
          <w:spacing w:val="-6"/>
        </w:rPr>
        <w:t>求和对供应商的期望。</w:t>
      </w:r>
    </w:p>
    <w:p>
      <w:pPr>
        <w:ind w:left="41" w:right="220" w:firstLine="530"/>
        <w:spacing w:before="81" w:line="336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公司坚持实施公平、透明的采购制度，通过标准化、规范化的选</w:t>
      </w:r>
      <w:r>
        <w:rPr>
          <w:rFonts w:ascii="FangSong" w:hAnsi="FangSong" w:eastAsia="FangSong" w:cs="FangSong"/>
          <w:sz w:val="28"/>
          <w:szCs w:val="28"/>
          <w:spacing w:val="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购程序与供应商进行业务合作，通过不断完善供应商评价体系、招投</w:t>
      </w:r>
      <w:r>
        <w:rPr>
          <w:rFonts w:ascii="FangSong" w:hAnsi="FangSong" w:eastAsia="FangSong" w:cs="FangSong"/>
          <w:sz w:val="28"/>
          <w:szCs w:val="28"/>
          <w:spacing w:val="1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标流程及事后审计程序，保证投诉及沟通渠道畅通，为供应商创造公</w:t>
      </w:r>
      <w:r>
        <w:rPr>
          <w:rFonts w:ascii="FangSong" w:hAnsi="FangSong" w:eastAsia="FangSong" w:cs="FangSong"/>
          <w:sz w:val="28"/>
          <w:szCs w:val="28"/>
          <w:spacing w:val="1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平、高效的竞争环境。公司坚决杜绝违反商业道德和市场规则、影响</w:t>
      </w:r>
    </w:p>
    <w:p>
      <w:pPr>
        <w:spacing w:line="336" w:lineRule="auto"/>
        <w:sectPr>
          <w:footerReference w:type="default" r:id="rId7"/>
          <w:pgSz w:w="11920" w:h="16380"/>
          <w:pgMar w:top="1392" w:right="1599" w:bottom="1490" w:left="1788" w:header="0" w:footer="1373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ind w:left="68" w:right="7"/>
        <w:spacing w:before="104" w:line="338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0"/>
        </w:rPr>
        <w:t>公平竞争的不正当交易行为，有效维护公平、公正、公开的交易环境，</w:t>
      </w:r>
      <w:r>
        <w:rPr>
          <w:rFonts w:ascii="FangSong" w:hAnsi="FangSong" w:eastAsia="FangSong" w:cs="FangSong"/>
          <w:sz w:val="28"/>
          <w:szCs w:val="28"/>
          <w:spacing w:val="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保障供应商的合法利益，促进公司持续、稳定、健康发展。</w:t>
      </w:r>
    </w:p>
    <w:p>
      <w:pPr>
        <w:ind w:left="511"/>
        <w:spacing w:before="90" w:line="225" w:lineRule="auto"/>
        <w:outlineLvl w:val="0"/>
        <w:rPr>
          <w:rFonts w:ascii="KaiTi" w:hAnsi="KaiTi" w:eastAsia="KaiTi" w:cs="KaiTi"/>
          <w:sz w:val="28"/>
          <w:szCs w:val="28"/>
        </w:rPr>
      </w:pPr>
      <w:bookmarkStart w:name="bookmark21" w:id="34"/>
      <w:bookmarkEnd w:id="34"/>
      <w:bookmarkStart w:name="bookmark9" w:id="35"/>
      <w:bookmarkEnd w:id="35"/>
      <w:r>
        <w:rPr>
          <w:rFonts w:ascii="KaiTi" w:hAnsi="KaiTi" w:eastAsia="KaiTi" w:cs="KaiTi"/>
          <w:sz w:val="28"/>
          <w:szCs w:val="28"/>
          <w:b/>
          <w:bCs/>
          <w:spacing w:val="46"/>
        </w:rPr>
        <w:t>(五)客户和消费者权益保护</w:t>
      </w:r>
    </w:p>
    <w:p>
      <w:pPr>
        <w:ind w:left="68" w:right="101" w:firstLine="569"/>
        <w:spacing w:before="207" w:line="341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公司实行全生命周期的产品质量监控体系，在生产过程中由公司</w:t>
      </w:r>
      <w:r>
        <w:rPr>
          <w:rFonts w:ascii="FangSong" w:hAnsi="FangSong" w:eastAsia="FangSong" w:cs="FangSong"/>
          <w:sz w:val="28"/>
          <w:szCs w:val="28"/>
          <w:spacing w:val="1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质量检测人员全程跟踪检测，严格把控，保证产品质量，进而保障广</w:t>
      </w:r>
      <w:r>
        <w:rPr>
          <w:rFonts w:ascii="FangSong" w:hAnsi="FangSong" w:eastAsia="FangSong" w:cs="FangSong"/>
          <w:sz w:val="28"/>
          <w:szCs w:val="28"/>
          <w:spacing w:val="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大消费者权益。</w:t>
      </w:r>
    </w:p>
    <w:p>
      <w:pPr>
        <w:ind w:left="68" w:right="109" w:firstLine="569"/>
        <w:spacing w:before="43" w:line="345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公司高度重视与消费者的紧密沟通，积极打造与消费者沟通的平</w:t>
      </w:r>
      <w:r>
        <w:rPr>
          <w:rFonts w:ascii="FangSong" w:hAnsi="FangSong" w:eastAsia="FangSong" w:cs="FangSong"/>
          <w:sz w:val="28"/>
          <w:szCs w:val="28"/>
          <w:spacing w:val="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台；一方面，通过定期进行消费者调研，与销售终端面对面交流，开</w:t>
      </w:r>
      <w:r>
        <w:rPr>
          <w:rFonts w:ascii="FangSong" w:hAnsi="FangSong" w:eastAsia="FangSong" w:cs="FangSong"/>
          <w:sz w:val="28"/>
          <w:szCs w:val="28"/>
          <w:spacing w:val="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展满意度调查，密切关注消费者需求，加强产品研发，开发出进一步</w:t>
      </w:r>
      <w:r>
        <w:rPr>
          <w:rFonts w:ascii="FangSong" w:hAnsi="FangSong" w:eastAsia="FangSong" w:cs="FangSong"/>
          <w:sz w:val="28"/>
          <w:szCs w:val="28"/>
          <w:spacing w:val="1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3"/>
        </w:rPr>
        <w:t>满足消费者需求的产品；另一方面，公司全力打造企业网站，建立</w:t>
      </w:r>
      <w:r>
        <w:rPr>
          <w:rFonts w:ascii="FangSong" w:hAnsi="FangSong" w:eastAsia="FangSong" w:cs="FangSong"/>
          <w:sz w:val="28"/>
          <w:szCs w:val="28"/>
          <w:spacing w:val="-14"/>
        </w:rPr>
        <w:t>“客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户沟通渠道保障”系统，安排专人处理客户投诉及业务咨询问题，通</w:t>
      </w:r>
      <w:r>
        <w:rPr>
          <w:rFonts w:ascii="FangSong" w:hAnsi="FangSong" w:eastAsia="FangSong" w:cs="FangSong"/>
          <w:sz w:val="28"/>
          <w:szCs w:val="28"/>
          <w:spacing w:val="1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过听取消费者对产品和服务的投诉问题，协助消费者进行产品的售后</w:t>
      </w:r>
      <w:r>
        <w:rPr>
          <w:rFonts w:ascii="FangSong" w:hAnsi="FangSong" w:eastAsia="FangSong" w:cs="FangSong"/>
          <w:sz w:val="28"/>
          <w:szCs w:val="28"/>
          <w:spacing w:val="1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服务，确保及时、快速的解决问题。</w:t>
      </w:r>
    </w:p>
    <w:p>
      <w:pPr>
        <w:ind w:left="72"/>
        <w:spacing w:before="1" w:line="213" w:lineRule="auto"/>
        <w:outlineLvl w:val="0"/>
        <w:rPr>
          <w:rFonts w:ascii="SimHei" w:hAnsi="SimHei" w:eastAsia="SimHei" w:cs="SimHei"/>
          <w:sz w:val="34"/>
          <w:szCs w:val="34"/>
        </w:rPr>
      </w:pPr>
      <w:bookmarkStart w:name="bookmark10" w:id="36"/>
      <w:bookmarkEnd w:id="36"/>
      <w:r>
        <w:rPr>
          <w:rFonts w:ascii="SimHei" w:hAnsi="SimHei" w:eastAsia="SimHei" w:cs="SimHei"/>
          <w:sz w:val="34"/>
          <w:szCs w:val="34"/>
          <w:b/>
          <w:bCs/>
          <w:spacing w:val="-25"/>
        </w:rPr>
        <w:t>三、加强生态环境保护，坚持可持续发展道路</w:t>
      </w:r>
    </w:p>
    <w:p>
      <w:pPr>
        <w:ind w:left="68" w:right="99" w:firstLine="569"/>
        <w:spacing w:before="232" w:line="345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公司深入践行“绿水青山就是金山银山”的发展理念，切实把加</w:t>
      </w:r>
      <w:r>
        <w:rPr>
          <w:rFonts w:ascii="FangSong" w:hAnsi="FangSong" w:eastAsia="FangSong" w:cs="FangSong"/>
          <w:sz w:val="28"/>
          <w:szCs w:val="28"/>
          <w:spacing w:val="1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强生态环境保护作为企业转变发展方式、增创效益、履行社会责任的</w:t>
      </w:r>
      <w:r>
        <w:rPr>
          <w:rFonts w:ascii="FangSong" w:hAnsi="FangSong" w:eastAsia="FangSong" w:cs="FangSong"/>
          <w:sz w:val="28"/>
          <w:szCs w:val="28"/>
          <w:spacing w:val="1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重要手段，努力克服严峻复杂的经济形势和国家产业政策</w:t>
      </w:r>
      <w:r>
        <w:rPr>
          <w:rFonts w:ascii="FangSong" w:hAnsi="FangSong" w:eastAsia="FangSong" w:cs="FangSong"/>
          <w:sz w:val="28"/>
          <w:szCs w:val="28"/>
          <w:spacing w:val="-5"/>
        </w:rPr>
        <w:t>调控的深刻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影响，扎实推进公司环保工作，坚持以高标准管理促进公司高质量发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展。</w:t>
      </w:r>
    </w:p>
    <w:p>
      <w:pPr>
        <w:ind w:left="68" w:right="103" w:firstLine="569"/>
        <w:spacing w:before="38" w:line="340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哈尔滨群勤秉承“保护环境，资源再生利用”的环保理念，先后</w:t>
      </w:r>
      <w:r>
        <w:rPr>
          <w:rFonts w:ascii="FangSong" w:hAnsi="FangSong" w:eastAsia="FangSong" w:cs="FangSong"/>
          <w:sz w:val="28"/>
          <w:szCs w:val="28"/>
          <w:spacing w:val="12"/>
        </w:rPr>
        <w:t xml:space="preserve"> </w:t>
      </w:r>
      <w:r>
        <w:rPr>
          <w:rFonts w:ascii="FangSong" w:hAnsi="FangSong" w:eastAsia="FangSong" w:cs="FangSong"/>
          <w:sz w:val="28"/>
          <w:szCs w:val="28"/>
        </w:rPr>
        <w:t>通</w:t>
      </w:r>
      <w:r>
        <w:rPr>
          <w:rFonts w:ascii="SimSun" w:hAnsi="SimSun" w:eastAsia="SimSun" w:cs="SimSun"/>
          <w:sz w:val="28"/>
          <w:szCs w:val="28"/>
        </w:rPr>
        <w:t>ISO14001、ISO9001、OHSAS18001  </w:t>
      </w:r>
      <w:r>
        <w:rPr>
          <w:rFonts w:ascii="FangSong" w:hAnsi="FangSong" w:eastAsia="FangSong" w:cs="FangSong"/>
          <w:sz w:val="28"/>
          <w:szCs w:val="28"/>
        </w:rPr>
        <w:t>认证，具有《废弃电器电子产</w:t>
      </w:r>
      <w:r>
        <w:rPr>
          <w:rFonts w:ascii="FangSong" w:hAnsi="FangSong" w:eastAsia="FangSong" w:cs="FangSong"/>
          <w:sz w:val="28"/>
          <w:szCs w:val="28"/>
          <w:spacing w:val="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2"/>
        </w:rPr>
        <w:t>品处理资格证书》、《电子废弃物拆解利用处置单位临时名录》、《再生</w:t>
      </w:r>
      <w:r>
        <w:rPr>
          <w:rFonts w:ascii="FangSong" w:hAnsi="FangSong" w:eastAsia="FangSong" w:cs="FangSong"/>
          <w:sz w:val="28"/>
          <w:szCs w:val="28"/>
          <w:spacing w:val="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资源回收经营备案证》等资质。公司作为一家负责任的企业，一直积</w:t>
      </w:r>
      <w:r>
        <w:rPr>
          <w:rFonts w:ascii="FangSong" w:hAnsi="FangSong" w:eastAsia="FangSong" w:cs="FangSong"/>
          <w:sz w:val="28"/>
          <w:szCs w:val="28"/>
          <w:spacing w:val="1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极主动承担着各项社会公共责任，通过不断健全和完善环保制度体系</w:t>
      </w:r>
      <w:r>
        <w:rPr>
          <w:rFonts w:ascii="FangSong" w:hAnsi="FangSong" w:eastAsia="FangSong" w:cs="FangSong"/>
          <w:sz w:val="28"/>
          <w:szCs w:val="28"/>
          <w:spacing w:val="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建设，加大环保技术投入，把节能环保与企业发展结合起来，严格把</w:t>
      </w:r>
    </w:p>
    <w:p>
      <w:pPr>
        <w:spacing w:line="340" w:lineRule="auto"/>
        <w:sectPr>
          <w:footerReference w:type="default" r:id="rId8"/>
          <w:pgSz w:w="12080" w:h="16510"/>
          <w:pgMar w:top="1403" w:right="1812" w:bottom="1615" w:left="1812" w:header="0" w:footer="1491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ind w:left="69" w:right="77"/>
        <w:spacing w:before="78" w:line="328" w:lineRule="auto"/>
        <w:rPr>
          <w:rFonts w:ascii="FangSong" w:hAnsi="FangSong" w:eastAsia="FangSong" w:cs="FangSong"/>
          <w:sz w:val="29"/>
          <w:szCs w:val="29"/>
        </w:rPr>
      </w:pPr>
      <w:r>
        <w:rPr>
          <w:rFonts w:ascii="FangSong" w:hAnsi="FangSong" w:eastAsia="FangSong" w:cs="FangSong"/>
          <w:sz w:val="29"/>
          <w:szCs w:val="29"/>
          <w:spacing w:val="-14"/>
        </w:rPr>
        <w:t>控环境质量。对于生产、运营过程中给社会带来的环境污染、能源消</w:t>
      </w:r>
      <w:r>
        <w:rPr>
          <w:rFonts w:ascii="FangSong" w:hAnsi="FangSong" w:eastAsia="FangSong" w:cs="FangSong"/>
          <w:sz w:val="29"/>
          <w:szCs w:val="29"/>
          <w:spacing w:val="2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14"/>
        </w:rPr>
        <w:t>耗、资源综合利用、安全生产、产品质量安全等问题都会进行严格评</w:t>
      </w:r>
      <w:r>
        <w:rPr>
          <w:rFonts w:ascii="FangSong" w:hAnsi="FangSong" w:eastAsia="FangSong" w:cs="FangSong"/>
          <w:sz w:val="29"/>
          <w:szCs w:val="29"/>
          <w:spacing w:val="17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4"/>
        </w:rPr>
        <w:t>估，并制定一系列指标，研究相应的改进措施。哈尔滨群勤2011年</w:t>
      </w:r>
      <w:r>
        <w:rPr>
          <w:rFonts w:ascii="FangSong" w:hAnsi="FangSong" w:eastAsia="FangSong" w:cs="FangSong"/>
          <w:sz w:val="29"/>
          <w:szCs w:val="29"/>
          <w:spacing w:val="11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4"/>
        </w:rPr>
        <w:t>被哈尔滨市环境宣教信息中心评为创建国家环保模范城贡献单位；</w:t>
      </w:r>
      <w:r>
        <w:rPr>
          <w:rFonts w:ascii="FangSong" w:hAnsi="FangSong" w:eastAsia="FangSong" w:cs="FangSong"/>
          <w:sz w:val="29"/>
          <w:szCs w:val="29"/>
          <w:spacing w:val="7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4"/>
        </w:rPr>
        <w:t>2012年被授予中国循环资源回收利用协会电子废弃物回收处理分会</w:t>
      </w:r>
      <w:r>
        <w:rPr>
          <w:rFonts w:ascii="FangSong" w:hAnsi="FangSong" w:eastAsia="FangSong" w:cs="FangSong"/>
          <w:sz w:val="29"/>
          <w:szCs w:val="29"/>
          <w:spacing w:val="10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4"/>
        </w:rPr>
        <w:t>会员单位；2013年被商务时报黑龙江中心聘为理事单位，授予“媒</w:t>
      </w:r>
      <w:r>
        <w:rPr>
          <w:rFonts w:ascii="FangSong" w:hAnsi="FangSong" w:eastAsia="FangSong" w:cs="FangSong"/>
          <w:sz w:val="29"/>
          <w:szCs w:val="29"/>
          <w:spacing w:val="10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4"/>
        </w:rPr>
        <w:t>体重点宣传单位”荣誉称号；2014年被哈尔滨市环境保护产业协会</w:t>
      </w:r>
      <w:r>
        <w:rPr>
          <w:rFonts w:ascii="FangSong" w:hAnsi="FangSong" w:eastAsia="FangSong" w:cs="FangSong"/>
          <w:sz w:val="29"/>
          <w:szCs w:val="29"/>
          <w:spacing w:val="10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4"/>
        </w:rPr>
        <w:t>授予常务理事单位；2018年被哈尔滨市生态环境局列为哈尔滨电废</w:t>
      </w:r>
      <w:r>
        <w:rPr>
          <w:rFonts w:ascii="FangSong" w:hAnsi="FangSong" w:eastAsia="FangSong" w:cs="FangSong"/>
          <w:sz w:val="29"/>
          <w:szCs w:val="29"/>
          <w:spacing w:val="15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15"/>
        </w:rPr>
        <w:t>处置示范开放单位，并多次被多家媒体做为电子废弃物规范处置的典</w:t>
      </w:r>
      <w:r>
        <w:rPr>
          <w:rFonts w:ascii="FangSong" w:hAnsi="FangSong" w:eastAsia="FangSong" w:cs="FangSong"/>
          <w:sz w:val="29"/>
          <w:szCs w:val="29"/>
          <w:spacing w:val="16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14"/>
        </w:rPr>
        <w:t>型在各大报纸进行报道宣传。</w:t>
      </w:r>
    </w:p>
    <w:p>
      <w:pPr>
        <w:ind w:left="69" w:right="64" w:firstLine="589"/>
        <w:spacing w:before="124" w:line="326" w:lineRule="auto"/>
        <w:jc w:val="both"/>
        <w:rPr>
          <w:rFonts w:ascii="FangSong" w:hAnsi="FangSong" w:eastAsia="FangSong" w:cs="FangSong"/>
          <w:sz w:val="29"/>
          <w:szCs w:val="29"/>
        </w:rPr>
      </w:pPr>
      <w:r>
        <w:rPr>
          <w:rFonts w:ascii="FangSong" w:hAnsi="FangSong" w:eastAsia="FangSong" w:cs="FangSong"/>
          <w:sz w:val="29"/>
          <w:szCs w:val="29"/>
          <w:spacing w:val="-4"/>
        </w:rPr>
        <w:t>公司积极组织员工开展“环保-植树倡议活动”,增强员工绿色</w:t>
      </w:r>
      <w:r>
        <w:rPr>
          <w:rFonts w:ascii="FangSong" w:hAnsi="FangSong" w:eastAsia="FangSong" w:cs="FangSong"/>
          <w:sz w:val="29"/>
          <w:szCs w:val="29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15"/>
        </w:rPr>
        <w:t>环保意识，倡导全员节水、节电，办公区采用节能灯具照明，实行人</w:t>
      </w:r>
      <w:r>
        <w:rPr>
          <w:rFonts w:ascii="FangSong" w:hAnsi="FangSong" w:eastAsia="FangSong" w:cs="FangSong"/>
          <w:sz w:val="29"/>
          <w:szCs w:val="29"/>
          <w:spacing w:val="16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13"/>
        </w:rPr>
        <w:t>走灯灭，在各项办公设备的选用中坚持选用能耗低的节能减排设备，</w:t>
      </w:r>
      <w:r>
        <w:rPr>
          <w:rFonts w:ascii="FangSong" w:hAnsi="FangSong" w:eastAsia="FangSong" w:cs="FangSong"/>
          <w:sz w:val="29"/>
          <w:szCs w:val="29"/>
          <w:spacing w:val="3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13"/>
        </w:rPr>
        <w:t>积极推行无纸化办公，实行废纸再利用，推行</w:t>
      </w:r>
      <w:r>
        <w:rPr>
          <w:rFonts w:ascii="FangSong" w:hAnsi="FangSong" w:eastAsia="FangSong" w:cs="FangSong"/>
          <w:sz w:val="29"/>
          <w:szCs w:val="29"/>
          <w:spacing w:val="-14"/>
        </w:rPr>
        <w:t>网上电子工具。公司努</w:t>
      </w:r>
      <w:r>
        <w:rPr>
          <w:rFonts w:ascii="FangSong" w:hAnsi="FangSong" w:eastAsia="FangSong" w:cs="FangSong"/>
          <w:sz w:val="29"/>
          <w:szCs w:val="29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16"/>
        </w:rPr>
        <w:t>力构建发展速度与质量效益相统一、经济发展与资源环境相协调的和</w:t>
      </w:r>
      <w:r>
        <w:rPr>
          <w:rFonts w:ascii="FangSong" w:hAnsi="FangSong" w:eastAsia="FangSong" w:cs="FangSong"/>
          <w:sz w:val="29"/>
          <w:szCs w:val="29"/>
          <w:spacing w:val="8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12"/>
        </w:rPr>
        <w:t>谐局面，为建设环境友好型和资源节约型社会做出了应有的贡献。</w:t>
      </w:r>
    </w:p>
    <w:p>
      <w:pPr>
        <w:ind w:left="74"/>
        <w:spacing w:before="97" w:line="222" w:lineRule="auto"/>
        <w:outlineLvl w:val="0"/>
        <w:rPr>
          <w:rFonts w:ascii="SimHei" w:hAnsi="SimHei" w:eastAsia="SimHei" w:cs="SimHei"/>
          <w:sz w:val="33"/>
          <w:szCs w:val="33"/>
        </w:rPr>
      </w:pPr>
      <w:bookmarkStart w:name="bookmark11" w:id="37"/>
      <w:bookmarkEnd w:id="37"/>
      <w:r>
        <w:rPr>
          <w:rFonts w:ascii="SimHei" w:hAnsi="SimHei" w:eastAsia="SimHei" w:cs="SimHei"/>
          <w:sz w:val="33"/>
          <w:szCs w:val="33"/>
          <w:b/>
          <w:bCs/>
          <w:spacing w:val="-15"/>
        </w:rPr>
        <w:t>四、公共关系和社会公益事业</w:t>
      </w:r>
    </w:p>
    <w:p>
      <w:pPr>
        <w:ind w:left="874"/>
        <w:spacing w:before="204" w:line="223" w:lineRule="auto"/>
        <w:outlineLvl w:val="0"/>
        <w:rPr>
          <w:rFonts w:ascii="KaiTi" w:hAnsi="KaiTi" w:eastAsia="KaiTi" w:cs="KaiTi"/>
          <w:sz w:val="33"/>
          <w:szCs w:val="33"/>
        </w:rPr>
      </w:pPr>
      <w:bookmarkStart w:name="bookmark12" w:id="38"/>
      <w:bookmarkEnd w:id="38"/>
      <w:r>
        <w:rPr>
          <w:rFonts w:ascii="KaiTi" w:hAnsi="KaiTi" w:eastAsia="KaiTi" w:cs="KaiTi"/>
          <w:sz w:val="33"/>
          <w:szCs w:val="33"/>
          <w:b/>
          <w:bCs/>
          <w:spacing w:val="12"/>
        </w:rPr>
        <w:t>(一)公共关系</w:t>
      </w:r>
    </w:p>
    <w:p>
      <w:pPr>
        <w:ind w:left="69" w:right="82" w:firstLine="589"/>
        <w:spacing w:before="208" w:line="329" w:lineRule="auto"/>
        <w:jc w:val="both"/>
        <w:rPr>
          <w:rFonts w:ascii="FangSong" w:hAnsi="FangSong" w:eastAsia="FangSong" w:cs="FangSong"/>
          <w:sz w:val="29"/>
          <w:szCs w:val="29"/>
        </w:rPr>
      </w:pPr>
      <w:r>
        <w:rPr>
          <w:rFonts w:ascii="FangSong" w:hAnsi="FangSong" w:eastAsia="FangSong" w:cs="FangSong"/>
          <w:sz w:val="29"/>
          <w:szCs w:val="29"/>
          <w:spacing w:val="-15"/>
        </w:rPr>
        <w:t>公司主动接受并积极配合政府部门和监管部门的监督和检查，并</w:t>
      </w:r>
      <w:r>
        <w:rPr>
          <w:rFonts w:ascii="FangSong" w:hAnsi="FangSong" w:eastAsia="FangSong" w:cs="FangSong"/>
          <w:sz w:val="29"/>
          <w:szCs w:val="29"/>
          <w:spacing w:val="6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14"/>
        </w:rPr>
        <w:t>加强和政府机关联系，建立良好的沟通关系。公司积极协调</w:t>
      </w:r>
      <w:r>
        <w:rPr>
          <w:rFonts w:ascii="FangSong" w:hAnsi="FangSong" w:eastAsia="FangSong" w:cs="FangSong"/>
          <w:sz w:val="29"/>
          <w:szCs w:val="29"/>
          <w:spacing w:val="-15"/>
        </w:rPr>
        <w:t>与社区的</w:t>
      </w:r>
      <w:r>
        <w:rPr>
          <w:rFonts w:ascii="FangSong" w:hAnsi="FangSong" w:eastAsia="FangSong" w:cs="FangSong"/>
          <w:sz w:val="29"/>
          <w:szCs w:val="29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15"/>
        </w:rPr>
        <w:t>关系，与社区和谐互动。</w:t>
      </w:r>
    </w:p>
    <w:p>
      <w:pPr>
        <w:ind w:left="904"/>
        <w:spacing w:before="21" w:line="232" w:lineRule="auto"/>
        <w:outlineLvl w:val="0"/>
        <w:rPr>
          <w:rFonts w:ascii="KaiTi" w:hAnsi="KaiTi" w:eastAsia="KaiTi" w:cs="KaiTi"/>
          <w:sz w:val="33"/>
          <w:szCs w:val="33"/>
        </w:rPr>
      </w:pPr>
      <w:bookmarkStart w:name="bookmark13" w:id="39"/>
      <w:bookmarkEnd w:id="39"/>
      <w:r>
        <w:rPr>
          <w:rFonts w:ascii="KaiTi" w:hAnsi="KaiTi" w:eastAsia="KaiTi" w:cs="KaiTi"/>
          <w:sz w:val="33"/>
          <w:szCs w:val="33"/>
          <w:b/>
          <w:bCs/>
          <w:spacing w:val="10"/>
        </w:rPr>
        <w:t>(二)依法纳税</w:t>
      </w:r>
    </w:p>
    <w:p>
      <w:pPr>
        <w:ind w:left="69" w:right="49" w:firstLine="589"/>
        <w:spacing w:before="185" w:line="325" w:lineRule="auto"/>
        <w:jc w:val="both"/>
        <w:rPr>
          <w:rFonts w:ascii="FangSong" w:hAnsi="FangSong" w:eastAsia="FangSong" w:cs="FangSong"/>
          <w:sz w:val="29"/>
          <w:szCs w:val="29"/>
        </w:rPr>
      </w:pPr>
      <w:r>
        <w:rPr>
          <w:rFonts w:ascii="FangSong" w:hAnsi="FangSong" w:eastAsia="FangSong" w:cs="FangSong"/>
          <w:sz w:val="29"/>
          <w:szCs w:val="29"/>
          <w:spacing w:val="-14"/>
        </w:rPr>
        <w:t>企业和社会两者相融共生，依法纳税是企业最基本、最重要的社</w:t>
      </w:r>
      <w:r>
        <w:rPr>
          <w:rFonts w:ascii="FangSong" w:hAnsi="FangSong" w:eastAsia="FangSong" w:cs="FangSong"/>
          <w:sz w:val="29"/>
          <w:szCs w:val="29"/>
          <w:spacing w:val="11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13"/>
        </w:rPr>
        <w:t>会责任，正所谓“取之于社会、用之于社会”。2</w:t>
      </w:r>
      <w:r>
        <w:rPr>
          <w:rFonts w:ascii="FangSong" w:hAnsi="FangSong" w:eastAsia="FangSong" w:cs="FangSong"/>
          <w:sz w:val="29"/>
          <w:szCs w:val="29"/>
          <w:spacing w:val="-14"/>
        </w:rPr>
        <w:t>023年度，公司致力</w:t>
      </w:r>
      <w:r>
        <w:rPr>
          <w:rFonts w:ascii="FangSong" w:hAnsi="FangSong" w:eastAsia="FangSong" w:cs="FangSong"/>
          <w:sz w:val="29"/>
          <w:szCs w:val="29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14"/>
        </w:rPr>
        <w:t>发展、诚信经营，积极为地方财政税收做贡献，有力地支持了地方财</w:t>
      </w:r>
    </w:p>
    <w:p>
      <w:pPr>
        <w:spacing w:line="325" w:lineRule="auto"/>
        <w:sectPr>
          <w:footerReference w:type="default" r:id="rId9"/>
          <w:pgSz w:w="12070" w:h="16510"/>
          <w:pgMar w:top="1403" w:right="1810" w:bottom="1660" w:left="1810" w:header="0" w:footer="1543" w:gutter="0"/>
        </w:sectPr>
        <w:rPr>
          <w:rFonts w:ascii="FangSong" w:hAnsi="FangSong" w:eastAsia="FangSong" w:cs="FangSong"/>
          <w:sz w:val="29"/>
          <w:szCs w:val="29"/>
        </w:rPr>
      </w:pPr>
    </w:p>
    <w:p>
      <w:pPr>
        <w:ind w:left="88"/>
        <w:spacing w:before="57" w:line="220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3"/>
        </w:rPr>
        <w:t>政，实现企业发展与地方经济发展的良性互动。</w:t>
      </w:r>
    </w:p>
    <w:p>
      <w:pPr>
        <w:ind w:left="903"/>
        <w:spacing w:before="164" w:line="230" w:lineRule="auto"/>
        <w:outlineLvl w:val="0"/>
        <w:rPr>
          <w:rFonts w:ascii="KaiTi" w:hAnsi="KaiTi" w:eastAsia="KaiTi" w:cs="KaiTi"/>
          <w:sz w:val="34"/>
          <w:szCs w:val="34"/>
        </w:rPr>
      </w:pPr>
      <w:bookmarkStart w:name="bookmark14" w:id="40"/>
      <w:bookmarkEnd w:id="40"/>
      <w:r>
        <w:rPr>
          <w:rFonts w:ascii="KaiTi" w:hAnsi="KaiTi" w:eastAsia="KaiTi" w:cs="KaiTi"/>
          <w:sz w:val="34"/>
          <w:szCs w:val="34"/>
          <w:b/>
          <w:bCs/>
          <w:spacing w:val="-4"/>
        </w:rPr>
        <w:t>(三)社会公益</w:t>
      </w:r>
    </w:p>
    <w:p>
      <w:pPr>
        <w:ind w:left="109" w:firstLine="559"/>
        <w:spacing w:before="216" w:line="340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为积极践行企业的社会责任，公司致力于慈善公益事业，在扶贫</w:t>
      </w:r>
      <w:r>
        <w:rPr>
          <w:rFonts w:ascii="FangSong" w:hAnsi="FangSong" w:eastAsia="FangSong" w:cs="FangSong"/>
          <w:sz w:val="28"/>
          <w:szCs w:val="28"/>
          <w:spacing w:val="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(低)济困、助学兴教、贫困或低收入地区基础设施改善、环境保护、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文化遗产保护、赈灾等领域开展公益活动或项目。</w:t>
      </w:r>
    </w:p>
    <w:p>
      <w:pPr>
        <w:spacing w:line="340" w:lineRule="auto"/>
        <w:sectPr>
          <w:footerReference w:type="default" r:id="rId10"/>
          <w:pgSz w:w="11940" w:h="16400"/>
          <w:pgMar w:top="1378" w:right="1669" w:bottom="1610" w:left="1791" w:header="0" w:footer="1493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466" w:lineRule="auto"/>
        <w:rPr/>
      </w:pPr>
      <w:r/>
    </w:p>
    <w:p>
      <w:pPr>
        <w:ind w:left="3340"/>
        <w:spacing w:before="140" w:line="222" w:lineRule="auto"/>
        <w:rPr>
          <w:rFonts w:ascii="SimHei" w:hAnsi="SimHei" w:eastAsia="SimHei" w:cs="SimHei"/>
          <w:sz w:val="43"/>
          <w:szCs w:val="43"/>
        </w:rPr>
      </w:pPr>
      <w:r>
        <w:rPr>
          <w:rFonts w:ascii="SimHei" w:hAnsi="SimHei" w:eastAsia="SimHei" w:cs="SimHei"/>
          <w:sz w:val="43"/>
          <w:szCs w:val="43"/>
          <w:b/>
          <w:bCs/>
          <w:spacing w:val="-8"/>
        </w:rPr>
        <w:t>报告结语</w:t>
      </w:r>
    </w:p>
    <w:p>
      <w:pPr>
        <w:ind w:left="84" w:right="645" w:firstLine="520"/>
        <w:spacing w:before="272" w:line="331" w:lineRule="auto"/>
        <w:rPr>
          <w:rFonts w:ascii="FangSong" w:hAnsi="FangSong" w:eastAsia="FangSong" w:cs="FangSong"/>
          <w:sz w:val="29"/>
          <w:szCs w:val="29"/>
        </w:rPr>
      </w:pPr>
      <w:r>
        <w:rPr>
          <w:rFonts w:ascii="FangSong" w:hAnsi="FangSong" w:eastAsia="FangSong" w:cs="FangSong"/>
          <w:sz w:val="29"/>
          <w:szCs w:val="29"/>
          <w:spacing w:val="-3"/>
        </w:rPr>
        <w:t>2024年公司将继续健全内控等管理制度，完善法人治理结构；</w:t>
      </w:r>
      <w:r>
        <w:rPr>
          <w:rFonts w:ascii="FangSong" w:hAnsi="FangSong" w:eastAsia="FangSong" w:cs="FangSong"/>
          <w:sz w:val="29"/>
          <w:szCs w:val="29"/>
          <w:spacing w:val="10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15"/>
        </w:rPr>
        <w:t>继续增强员工权益保障，注重人才培养；继续关注安全工作和环境保</w:t>
      </w:r>
      <w:r>
        <w:rPr>
          <w:rFonts w:ascii="FangSong" w:hAnsi="FangSong" w:eastAsia="FangSong" w:cs="FangSong"/>
          <w:sz w:val="29"/>
          <w:szCs w:val="29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15"/>
        </w:rPr>
        <w:t>护，探索绿色发展新思路，助推企业转型升级，实现低碳化发</w:t>
      </w:r>
      <w:r>
        <w:rPr>
          <w:rFonts w:ascii="FangSong" w:hAnsi="FangSong" w:eastAsia="FangSong" w:cs="FangSong"/>
          <w:sz w:val="29"/>
          <w:szCs w:val="29"/>
          <w:spacing w:val="-16"/>
        </w:rPr>
        <w:t>展；继</w:t>
      </w:r>
      <w:r>
        <w:rPr>
          <w:rFonts w:ascii="FangSong" w:hAnsi="FangSong" w:eastAsia="FangSong" w:cs="FangSong"/>
          <w:sz w:val="29"/>
          <w:szCs w:val="29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14"/>
        </w:rPr>
        <w:t>续承担更多的社会责任，积极投身公益，努力回馈社</w:t>
      </w:r>
      <w:r>
        <w:rPr>
          <w:rFonts w:ascii="FangSong" w:hAnsi="FangSong" w:eastAsia="FangSong" w:cs="FangSong"/>
          <w:sz w:val="29"/>
          <w:szCs w:val="29"/>
          <w:spacing w:val="-15"/>
        </w:rPr>
        <w:t>会，共创共建中</w:t>
      </w:r>
      <w:r>
        <w:rPr>
          <w:rFonts w:ascii="FangSong" w:hAnsi="FangSong" w:eastAsia="FangSong" w:cs="FangSong"/>
          <w:sz w:val="29"/>
          <w:szCs w:val="29"/>
        </w:rPr>
        <w:t xml:space="preserve"> </w:t>
      </w:r>
      <w:r>
        <w:rPr>
          <w:rFonts w:ascii="FangSong" w:hAnsi="FangSong" w:eastAsia="FangSong" w:cs="FangSong"/>
          <w:sz w:val="29"/>
          <w:szCs w:val="29"/>
          <w:spacing w:val="-16"/>
        </w:rPr>
        <w:t>国可持续发展的美好未来。</w:t>
      </w:r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ind w:firstLine="8672"/>
        <w:spacing w:line="1531" w:lineRule="exact"/>
        <w:rPr/>
      </w:pPr>
      <w:r>
        <w:rPr>
          <w:position w:val="-30"/>
        </w:rPr>
        <w:drawing>
          <wp:inline distT="0" distB="0" distL="0" distR="0">
            <wp:extent cx="210739" cy="972008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0739" cy="972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w:type="default" r:id="rId11"/>
      <w:pgSz w:w="12040" w:h="16500"/>
      <w:pgMar w:top="1402" w:right="1230" w:bottom="1683" w:left="1806" w:header="0" w:footer="1593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335"/>
      <w:spacing w:line="170" w:lineRule="auto"/>
      <w:rPr>
        <w:rFonts w:ascii="Times New Roman" w:hAnsi="Times New Roman" w:eastAsia="Times New Roman" w:cs="Times New Roman"/>
        <w:sz w:val="12"/>
        <w:szCs w:val="12"/>
      </w:rPr>
    </w:pPr>
    <w:r>
      <w:rPr>
        <w:rFonts w:ascii="Times New Roman" w:hAnsi="Times New Roman" w:eastAsia="Times New Roman" w:cs="Times New Roman"/>
        <w:sz w:val="12"/>
        <w:szCs w:val="12"/>
      </w:rPr>
      <w:t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304"/>
      <w:spacing w:line="169" w:lineRule="auto"/>
      <w:rPr>
        <w:rFonts w:ascii="SimSun" w:hAnsi="SimSun" w:eastAsia="SimSun" w:cs="SimSun"/>
        <w:sz w:val="14"/>
        <w:szCs w:val="14"/>
      </w:rPr>
    </w:pPr>
    <w:r>
      <w:rPr>
        <w:rFonts w:ascii="SimSun" w:hAnsi="SimSun" w:eastAsia="SimSun" w:cs="SimSun"/>
        <w:sz w:val="14"/>
        <w:szCs w:val="14"/>
      </w:rPr>
      <w:t>2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351"/>
      <w:spacing w:line="172" w:lineRule="auto"/>
      <w:rPr>
        <w:rFonts w:ascii="SimHei" w:hAnsi="SimHei" w:eastAsia="SimHei" w:cs="SimHei"/>
        <w:sz w:val="14"/>
        <w:szCs w:val="14"/>
      </w:rPr>
    </w:pPr>
    <w:r>
      <w:rPr>
        <w:rFonts w:ascii="SimHei" w:hAnsi="SimHei" w:eastAsia="SimHei" w:cs="SimHei"/>
        <w:sz w:val="14"/>
        <w:szCs w:val="14"/>
      </w:rPr>
      <w:t>3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68"/>
      <w:spacing w:line="172" w:lineRule="auto"/>
      <w:rPr>
        <w:rFonts w:ascii="Times New Roman" w:hAnsi="Times New Roman" w:eastAsia="Times New Roman" w:cs="Times New Roman"/>
        <w:sz w:val="13"/>
        <w:szCs w:val="13"/>
      </w:rPr>
    </w:pPr>
    <w:r>
      <w:rPr>
        <w:rFonts w:ascii="Times New Roman" w:hAnsi="Times New Roman" w:eastAsia="Times New Roman" w:cs="Times New Roman"/>
        <w:sz w:val="13"/>
        <w:szCs w:val="13"/>
      </w:rPr>
      <w:t>4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84"/>
      <w:spacing w:line="168" w:lineRule="auto"/>
      <w:rPr>
        <w:rFonts w:ascii="SimHei" w:hAnsi="SimHei" w:eastAsia="SimHei" w:cs="SimHei"/>
        <w:sz w:val="14"/>
        <w:szCs w:val="14"/>
      </w:rPr>
    </w:pPr>
    <w:r>
      <w:rPr>
        <w:rFonts w:ascii="SimHei" w:hAnsi="SimHei" w:eastAsia="SimHei" w:cs="SimHei"/>
        <w:sz w:val="14"/>
        <w:szCs w:val="14"/>
      </w:rPr>
      <w:t>5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302"/>
      <w:spacing w:line="172" w:lineRule="auto"/>
      <w:rPr>
        <w:rFonts w:ascii="Times New Roman" w:hAnsi="Times New Roman" w:eastAsia="Times New Roman" w:cs="Times New Roman"/>
        <w:sz w:val="13"/>
        <w:szCs w:val="13"/>
      </w:rPr>
    </w:pPr>
    <w:r>
      <w:rPr>
        <w:rFonts w:ascii="Times New Roman" w:hAnsi="Times New Roman" w:eastAsia="Times New Roman" w:cs="Times New Roman"/>
        <w:sz w:val="13"/>
        <w:szCs w:val="13"/>
      </w:rPr>
      <w:t>6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368"/>
      <w:spacing w:line="170" w:lineRule="auto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</w:rPr>
      <w:t>7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379"/>
      <w:spacing w:line="172" w:lineRule="auto"/>
      <w:rPr>
        <w:rFonts w:ascii="Times New Roman" w:hAnsi="Times New Roman" w:eastAsia="Times New Roman" w:cs="Times New Roman"/>
        <w:sz w:val="13"/>
        <w:szCs w:val="13"/>
      </w:rPr>
    </w:pPr>
    <w:r>
      <w:rPr>
        <w:rFonts w:ascii="Times New Roman" w:hAnsi="Times New Roman" w:eastAsia="Times New Roman" w:cs="Times New Roman"/>
        <w:sz w:val="13"/>
        <w:szCs w:val="13"/>
      </w:rPr>
      <w:t>8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319"/>
      <w:spacing w:line="172" w:lineRule="auto"/>
      <w:rPr>
        <w:rFonts w:ascii="Times New Roman" w:hAnsi="Times New Roman" w:eastAsia="Times New Roman" w:cs="Times New Roman"/>
        <w:sz w:val="13"/>
        <w:szCs w:val="13"/>
      </w:rPr>
    </w:pPr>
    <w:r>
      <w:rPr>
        <w:rFonts w:ascii="Times New Roman" w:hAnsi="Times New Roman" w:eastAsia="Times New Roman" w:cs="Times New Roman"/>
        <w:sz w:val="13"/>
        <w:szCs w:val="13"/>
      </w:rPr>
      <w:t>9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84"/>
      <w:spacing w:line="163" w:lineRule="auto"/>
      <w:rPr>
        <w:rFonts w:ascii="SimSun" w:hAnsi="SimSun" w:eastAsia="SimSun" w:cs="SimSun"/>
        <w:sz w:val="9"/>
        <w:szCs w:val="9"/>
      </w:rPr>
    </w:pPr>
    <w:r>
      <w:rPr>
        <w:rFonts w:ascii="SimSun" w:hAnsi="SimSun" w:eastAsia="SimSun" w:cs="SimSun"/>
        <w:sz w:val="9"/>
        <w:szCs w:val="9"/>
      </w:rPr>
      <w:t>1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8.xml"/><Relationship Id="rId8" Type="http://schemas.openxmlformats.org/officeDocument/2006/relationships/footer" Target="footer7.xml"/><Relationship Id="rId7" Type="http://schemas.openxmlformats.org/officeDocument/2006/relationships/footer" Target="footer6.xml"/><Relationship Id="rId6" Type="http://schemas.openxmlformats.org/officeDocument/2006/relationships/footer" Target="footer5.xml"/><Relationship Id="rId5" Type="http://schemas.openxmlformats.org/officeDocument/2006/relationships/footer" Target="footer4.xml"/><Relationship Id="rId4" Type="http://schemas.openxmlformats.org/officeDocument/2006/relationships/footer" Target="footer3.xml"/><Relationship Id="rId3" Type="http://schemas.openxmlformats.org/officeDocument/2006/relationships/footer" Target="footer2.xml"/><Relationship Id="rId2" Type="http://schemas.openxmlformats.org/officeDocument/2006/relationships/footer" Target="footer1.xml"/><Relationship Id="rId15" Type="http://schemas.openxmlformats.org/officeDocument/2006/relationships/fontTable" Target="fontTable.xml"/><Relationship Id="rId14" Type="http://schemas.openxmlformats.org/officeDocument/2006/relationships/styles" Target="styles.xml"/><Relationship Id="rId13" Type="http://schemas.openxmlformats.org/officeDocument/2006/relationships/settings" Target="settings.xml"/><Relationship Id="rId12" Type="http://schemas.openxmlformats.org/officeDocument/2006/relationships/image" Target="media/image2.png"/><Relationship Id="rId11" Type="http://schemas.openxmlformats.org/officeDocument/2006/relationships/footer" Target="footer10.xml"/><Relationship Id="rId10" Type="http://schemas.openxmlformats.org/officeDocument/2006/relationships/footer" Target="footer9.xml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2024-09-03T15:23:08Z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2024-09-03T15:23:09</vt:filetime>
  </property>
  <property fmtid="{D5CDD505-2E9C-101B-9397-08002B2CF9AE}" pid="4" name="UsrData">
    <vt:lpwstr>66d6b958b9fcc4001f4d234dwl</vt:lpwstr>
  </property>
</Properties>
</file>